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8D6FF" w14:textId="77777777" w:rsidR="00814874" w:rsidRPr="00814874" w:rsidRDefault="00814874" w:rsidP="006516A2">
      <w:pPr>
        <w:pStyle w:val="Heading"/>
        <w:rPr>
          <w:rFonts w:ascii="Times New Roman"/>
          <w:b/>
          <w:i/>
          <w:kern w:val="0"/>
          <w:sz w:val="28"/>
          <w:szCs w:val="28"/>
        </w:rPr>
      </w:pPr>
      <w:r w:rsidRPr="00814874">
        <w:rPr>
          <w:rFonts w:ascii="Times New Roman"/>
          <w:b/>
          <w:i/>
          <w:kern w:val="0"/>
          <w:sz w:val="28"/>
          <w:szCs w:val="28"/>
        </w:rPr>
        <w:t>Adopted for Academic Year 2014-15 (subject to revie</w:t>
      </w:r>
      <w:r w:rsidRPr="00814874">
        <w:rPr>
          <w:rFonts w:ascii="Times New Roman"/>
          <w:b/>
          <w:i/>
          <w:kern w:val="0"/>
          <w:sz w:val="28"/>
          <w:szCs w:val="28"/>
        </w:rPr>
        <w:t>w and revision for future years</w:t>
      </w:r>
      <w:bookmarkStart w:id="0" w:name="_GoBack"/>
      <w:bookmarkEnd w:id="0"/>
    </w:p>
    <w:p w14:paraId="129CB3BB" w14:textId="77777777" w:rsidR="00814874" w:rsidRPr="00814874" w:rsidRDefault="00814874" w:rsidP="006516A2">
      <w:pPr>
        <w:pStyle w:val="Heading"/>
        <w:rPr>
          <w:rFonts w:ascii="Times New Roman"/>
          <w:kern w:val="0"/>
          <w:sz w:val="24"/>
          <w:szCs w:val="24"/>
        </w:rPr>
      </w:pPr>
    </w:p>
    <w:p w14:paraId="20A7BE2A" w14:textId="77777777" w:rsidR="006516A2" w:rsidRDefault="006516A2" w:rsidP="006516A2">
      <w:pPr>
        <w:pStyle w:val="Heading"/>
      </w:pPr>
      <w:r>
        <w:t>2.2 Promotions</w:t>
      </w:r>
    </w:p>
    <w:p w14:paraId="5E3711B2" w14:textId="77777777" w:rsidR="006516A2" w:rsidRDefault="006516A2" w:rsidP="006516A2">
      <w:pPr>
        <w:pStyle w:val="NormalWeb"/>
      </w:pPr>
      <w:r>
        <w:t>Recommendation for promotion in faculty ranks is recognition of accomplishment for which the merit of the individual is the sole criterion. Initial recommendations are a faculty responsibility and are based upon considerations of academic merit and recognized achievement. Questions of finance, numbers in superior ranks, overall faculty distribution, or departmental balance are not involved in faculty recommendations.</w:t>
      </w:r>
    </w:p>
    <w:p w14:paraId="01AEBB99" w14:textId="77777777" w:rsidR="006516A2" w:rsidRDefault="006516A2" w:rsidP="006516A2">
      <w:pPr>
        <w:pStyle w:val="NormalWeb"/>
      </w:pPr>
      <w:r>
        <w:t>Successful faculty members bring to their tasks a variety of abilities with different degrees of competence in each one, depending upon their own personal characteristics and the nature of the assigned duties. Such a variety of abilities is inherent and necessary in the composition of a university faculty.</w:t>
      </w:r>
    </w:p>
    <w:p w14:paraId="275F9F92" w14:textId="77777777" w:rsidR="006516A2" w:rsidRDefault="006516A2" w:rsidP="006516A2">
      <w:pPr>
        <w:pStyle w:val="NormalWeb"/>
      </w:pPr>
      <w:r>
        <w:t>Newly appointed faculty may be appointed to the University with the appropriate rank based on prior service or achievement, with or without tenure, through a recommendation for such action from the department(s) or appropriate unit(s), and school/college(s), (in accordance with each unit</w:t>
      </w:r>
      <w:r>
        <w:rPr>
          <w:rFonts w:ascii="Arial Unicode MS"/>
        </w:rPr>
        <w:t>’</w:t>
      </w:r>
      <w:r>
        <w:t>s governance procedures) and approved by the Vice Chancellor and Provost.</w:t>
      </w:r>
    </w:p>
    <w:p w14:paraId="1A79665B" w14:textId="77777777" w:rsidR="006516A2" w:rsidRDefault="006516A2" w:rsidP="006516A2">
      <w:pPr>
        <w:pStyle w:val="Heading"/>
      </w:pPr>
      <w:r>
        <w:t>2.21 Bases for Recommendations: Considerations</w:t>
      </w:r>
    </w:p>
    <w:p w14:paraId="3E587206" w14:textId="77777777" w:rsidR="006516A2" w:rsidRDefault="006516A2" w:rsidP="006516A2">
      <w:pPr>
        <w:pStyle w:val="NormalWeb"/>
      </w:pPr>
      <w:r>
        <w:t xml:space="preserve">To be recommended, candidates are expected to have met prerequisites as listed below. In addition, they must have achieved meritorious accomplishments commensurate with the rank to which they hope to be elevated. The categories considered for </w:t>
      </w:r>
      <w:proofErr w:type="gramStart"/>
      <w:r>
        <w:t>evaluation are</w:t>
      </w:r>
      <w:proofErr w:type="gramEnd"/>
      <w:r>
        <w:t xml:space="preserve"> teaching, creative professional accomplishment, and service. Where appropriate, documentation should be submitted. Each category is important, but it is not assumed that recommendations for promotion will require equal merit in all.</w:t>
      </w:r>
    </w:p>
    <w:p w14:paraId="621B1629" w14:textId="77777777" w:rsidR="006516A2" w:rsidRDefault="006516A2" w:rsidP="006516A2">
      <w:pPr>
        <w:pStyle w:val="Heading"/>
      </w:pPr>
      <w:r>
        <w:t>2.22 Educational Background</w:t>
      </w:r>
    </w:p>
    <w:p w14:paraId="442E15C2" w14:textId="77777777" w:rsidR="006516A2" w:rsidRDefault="006516A2" w:rsidP="006516A2">
      <w:pPr>
        <w:pStyle w:val="NormalWeb"/>
      </w:pPr>
      <w:r>
        <w:t>All promotions above the rank of instructor ordinarily presume the doctorate or, in fields where the doctorate is not a normal requirement, the appropriate degree for accomplishment as determined by the school or college involved.</w:t>
      </w:r>
    </w:p>
    <w:p w14:paraId="37059EC6" w14:textId="77777777" w:rsidR="006516A2" w:rsidRDefault="006516A2" w:rsidP="006516A2">
      <w:pPr>
        <w:pStyle w:val="Body"/>
        <w:spacing w:before="100" w:after="100"/>
        <w:outlineLvl w:val="0"/>
        <w:rPr>
          <w:rFonts w:ascii="Times New Roman Bold" w:eastAsia="Times New Roman Bold" w:hAnsi="Times New Roman Bold" w:cs="Times New Roman Bold"/>
          <w:kern w:val="36"/>
          <w:sz w:val="48"/>
          <w:szCs w:val="48"/>
        </w:rPr>
      </w:pPr>
      <w:r>
        <w:rPr>
          <w:rFonts w:ascii="Times New Roman Bold"/>
          <w:kern w:val="36"/>
          <w:sz w:val="48"/>
          <w:szCs w:val="48"/>
        </w:rPr>
        <w:t>2.23 Timing of Promotions</w:t>
      </w:r>
    </w:p>
    <w:p w14:paraId="6DA8EFF6"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Candidates for promotion will normally not be considered until they have completed the following minimum time in rank at Syracuse University:</w:t>
      </w:r>
    </w:p>
    <w:p w14:paraId="050AAF00" w14:textId="77777777" w:rsidR="006516A2" w:rsidRDefault="006516A2" w:rsidP="006516A2">
      <w:pPr>
        <w:pStyle w:val="Body"/>
        <w:numPr>
          <w:ilvl w:val="0"/>
          <w:numId w:val="1"/>
        </w:numPr>
        <w:spacing w:before="100" w:after="100"/>
        <w:ind w:left="690" w:hanging="330"/>
        <w:rPr>
          <w:rFonts w:ascii="Times New Roman" w:eastAsia="Times New Roman" w:hAnsi="Times New Roman" w:cs="Times New Roman"/>
        </w:rPr>
      </w:pPr>
      <w:r>
        <w:rPr>
          <w:rFonts w:ascii="Times New Roman"/>
          <w:sz w:val="24"/>
          <w:szCs w:val="24"/>
        </w:rPr>
        <w:t>for promotion from instructor to assistant professor, one completed year;</w:t>
      </w:r>
    </w:p>
    <w:p w14:paraId="05E84595" w14:textId="77777777" w:rsidR="006516A2" w:rsidRDefault="006516A2" w:rsidP="006516A2">
      <w:pPr>
        <w:pStyle w:val="Body"/>
        <w:numPr>
          <w:ilvl w:val="0"/>
          <w:numId w:val="2"/>
        </w:numPr>
        <w:spacing w:before="100" w:after="100"/>
        <w:ind w:left="690" w:hanging="330"/>
        <w:rPr>
          <w:rFonts w:ascii="Times New Roman" w:eastAsia="Times New Roman" w:hAnsi="Times New Roman" w:cs="Times New Roman"/>
        </w:rPr>
      </w:pPr>
      <w:proofErr w:type="gramStart"/>
      <w:r>
        <w:rPr>
          <w:rFonts w:ascii="Times New Roman"/>
          <w:sz w:val="24"/>
          <w:szCs w:val="24"/>
        </w:rPr>
        <w:t>for</w:t>
      </w:r>
      <w:proofErr w:type="gramEnd"/>
      <w:r>
        <w:rPr>
          <w:rFonts w:ascii="Times New Roman"/>
          <w:sz w:val="24"/>
          <w:szCs w:val="24"/>
        </w:rPr>
        <w:t xml:space="preserve"> promotion from associate professor to professor, four completed years.</w:t>
      </w:r>
    </w:p>
    <w:p w14:paraId="3AC2098B"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 xml:space="preserve">Except in those cases where a faculty member is already at the rank of associate professor or higher (due to initial hiring at that rank or promotion before the effective date of this section), the </w:t>
      </w:r>
      <w:r>
        <w:rPr>
          <w:rFonts w:ascii="Times New Roman"/>
          <w:sz w:val="24"/>
          <w:szCs w:val="24"/>
        </w:rPr>
        <w:lastRenderedPageBreak/>
        <w:t>granting of tenure should coincide with promotion to associate professor regardless of time in rank. Other variations from these minimum time requirements will be considered under appropriate circumstances.</w:t>
      </w:r>
    </w:p>
    <w:p w14:paraId="40F4FDFA"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Each school and college will have a process memorialized (consistent with all other provisions of 2.2ff.) in order to provide expedited promotion to professor in response to time sensitive requests for review, using similar standards of evidence of merit to regular submissions.</w:t>
      </w:r>
    </w:p>
    <w:p w14:paraId="11C0298E"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No one is entitled to advancement solely because of length of service. It should be emphasized that accomplishment and not time in rank is the essential criterion for promotion.</w:t>
      </w:r>
    </w:p>
    <w:p w14:paraId="1406D5E0" w14:textId="77777777" w:rsidR="006516A2" w:rsidRDefault="006516A2" w:rsidP="006516A2">
      <w:pPr>
        <w:pStyle w:val="Heading"/>
      </w:pPr>
      <w:r>
        <w:t>2.24 Evaluation Categories</w:t>
      </w:r>
    </w:p>
    <w:p w14:paraId="6547A912" w14:textId="77777777" w:rsidR="006516A2" w:rsidRDefault="006516A2" w:rsidP="006516A2">
      <w:pPr>
        <w:pStyle w:val="NormalWeb"/>
      </w:pPr>
      <w:r>
        <w:t>As a research university, Syracuse University expects that faculty members will be actively engaged in an intellectual and creative life that enhances the knowledge base or otherwise extends the boundaries in their chosen areas of concentration. The University also has a tradition of permitting various allocations of effort across research and teaching. Schools and Colleges are expected to provide guidance to all faculty regarding allocations of effort. In particular, Schools and Colleges must provide guidelines for those individuals whose teaching, research, and service do not sharply divide into distinct categories so that they can present integrated dossiers and accounts of activities.</w:t>
      </w:r>
    </w:p>
    <w:p w14:paraId="092E084F" w14:textId="77777777" w:rsidR="006516A2" w:rsidRDefault="006516A2" w:rsidP="006516A2">
      <w:pPr>
        <w:pStyle w:val="NormalWeb"/>
      </w:pPr>
      <w:r>
        <w:rPr>
          <w:rFonts w:ascii="Calibri" w:eastAsia="Calibri" w:hAnsi="Calibri" w:cs="Calibri"/>
          <w:b/>
          <w:bCs/>
        </w:rPr>
        <w:t>Teaching</w:t>
      </w:r>
    </w:p>
    <w:p w14:paraId="46018056" w14:textId="77777777" w:rsidR="006516A2" w:rsidRDefault="006516A2" w:rsidP="006516A2">
      <w:pPr>
        <w:pStyle w:val="NormalWeb"/>
      </w:pPr>
      <w:r>
        <w:t>Syracuse University recognizes success in teaching among its tenured faculty to be of vital importance and values innovation and intellectual pursuit embedded within teaching. Teaching involves the art and skill required for the diffusion of knowledge and guidance toward its effective and independent use. The successful teacher, among other things, instructs in consonance with the School/College mission, has knowledge of subject matter, skillfully communicates and contributes to student learning and development, acts professionally and ethically, and strives continuously to improve. Quality teaching includes providing substantive feedback to students, revising curriculum to reflect developments in the field, and mastering appropriate pedagogical approaches. In addition to the instruction of individual courses, activities under the heading of teaching may include supervising independent study projects; advising; arranging and supervising internships, clinical placements or student research; serving on graduate examination committees and thesis, dissertation, dossier, and portfolio review committees; providing professional development for teaching assistants; involving students in community engagement projects; and instructing non-SU students or community members in a variety of venues.</w:t>
      </w:r>
    </w:p>
    <w:p w14:paraId="42A54194" w14:textId="77777777" w:rsidR="006516A2" w:rsidRDefault="006516A2" w:rsidP="006516A2">
      <w:pPr>
        <w:pStyle w:val="NormalWeb"/>
      </w:pPr>
      <w:r>
        <w:rPr>
          <w:rFonts w:ascii="Calibri" w:eastAsia="Calibri" w:hAnsi="Calibri" w:cs="Calibri"/>
          <w:b/>
          <w:bCs/>
        </w:rPr>
        <w:t>Research/scholarship/creative accomplishment</w:t>
      </w:r>
    </w:p>
    <w:p w14:paraId="58D1988A" w14:textId="77777777" w:rsidR="006516A2" w:rsidRDefault="006516A2" w:rsidP="006516A2">
      <w:pPr>
        <w:pStyle w:val="NormalWeb"/>
      </w:pPr>
      <w:r>
        <w:t>Faculty members belong to scholarly and professional communities and are expected to advance these communities by contributing to knowledge through research or other forms of creative work. The Syracuse University faculty is strong in part because it engages in scholarship that comprises a spectrum of excellence from disciplinary to cross-disciplinary, from theoretical to applied, and from critical to interpretive.</w:t>
      </w:r>
    </w:p>
    <w:p w14:paraId="7BD5D4CC" w14:textId="77777777" w:rsidR="006516A2" w:rsidRDefault="006516A2" w:rsidP="006516A2">
      <w:pPr>
        <w:pStyle w:val="NormalWeb"/>
      </w:pPr>
      <w:r>
        <w:t xml:space="preserve">Scholarship means in-depth study, learning, inquiry or experimentation designed to make contributions to knowledge as appropriate in specific fields or relevant disciplines. Scholarship, as measured by peer recognition of its originality, impact on, and importance to the development </w:t>
      </w:r>
      <w:r>
        <w:lastRenderedPageBreak/>
        <w:t>of the field(s) or relevant disciplines, is demonstrated most typically by refereed publications</w:t>
      </w:r>
      <w:r>
        <w:rPr>
          <w:rFonts w:ascii="Arial Unicode MS"/>
        </w:rPr>
        <w:t>—</w:t>
      </w:r>
      <w:r>
        <w:t>in journals, books of high quality, or other influential venues. It can also be demonstrated by high quality publications in other non-refereed but influential journals. Scholarship and research accomplishments are also demonstrated by the design and execution of basic or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w:t>
      </w:r>
      <w:r>
        <w:rPr>
          <w:rFonts w:ascii="Arial Unicode MS"/>
        </w:rPr>
        <w:t>’</w:t>
      </w:r>
      <w:r>
        <w:t>s field(s) of study or relevant disciplines; through such activities as editing, translation, the acquisition of significant patents, the compilation of information, and the development of materials that make information more accessible to researchers, other scholars, practitioners, and the public; and lecturing in professional and other public forums. (See Section 2.34)</w:t>
      </w:r>
    </w:p>
    <w:p w14:paraId="5551A12D" w14:textId="77777777" w:rsidR="006516A2" w:rsidRDefault="006516A2" w:rsidP="006516A2">
      <w:pPr>
        <w:pStyle w:val="NormalWeb"/>
      </w:pPr>
      <w:r>
        <w:t>For promotion to the rank of professor, accomplishments in research, scholarship, and creative work should have impact that is broad and deep, whether in a single discipline or across disciplines, among the significant audiences inside and outside of the academy.</w:t>
      </w:r>
    </w:p>
    <w:p w14:paraId="37A119FC" w14:textId="77777777" w:rsidR="006516A2" w:rsidRDefault="006516A2" w:rsidP="006516A2">
      <w:pPr>
        <w:pStyle w:val="NormalWeb"/>
      </w:pPr>
      <w:r>
        <w:rPr>
          <w:rFonts w:ascii="Calibri" w:eastAsia="Calibri" w:hAnsi="Calibri" w:cs="Calibri"/>
          <w:b/>
          <w:bCs/>
        </w:rPr>
        <w:t>Service</w:t>
      </w:r>
    </w:p>
    <w:p w14:paraId="3A6E9BD5" w14:textId="77777777" w:rsidR="006516A2" w:rsidRDefault="006516A2" w:rsidP="006516A2">
      <w:pPr>
        <w:pStyle w:val="NormalWeb"/>
      </w:pPr>
      <w:r>
        <w:t>Syracuse University asserts the importance of faculty service for the vitality of its academic community, for the professions it represents, and for society at large. Service includes membership or leadership on committees at program, department, School/College, or University levels as appropriate to the faculty member</w:t>
      </w:r>
      <w:r>
        <w:rPr>
          <w:rFonts w:ascii="Arial Unicode MS"/>
        </w:rPr>
        <w:t>’</w:t>
      </w:r>
      <w:r>
        <w:t>s rank, as well as administrative functions or other leadership roles. In addition to formal assignments of duties, faculty individually can prove valuable in efforts such as recruiting and mentoring students, faculty, and staff. Service also includes contributions to professional societies, governmental and academic institutions, and the community at large when these contributions reflect faculty members</w:t>
      </w:r>
      <w:r>
        <w:rPr>
          <w:rFonts w:ascii="Arial Unicode MS"/>
        </w:rPr>
        <w:t xml:space="preserve">’ </w:t>
      </w:r>
      <w:r>
        <w:t>professional expertise or standing. Service activities should be of high quality.</w:t>
      </w:r>
    </w:p>
    <w:p w14:paraId="405D1890" w14:textId="77777777" w:rsidR="006516A2" w:rsidRDefault="006516A2" w:rsidP="006516A2">
      <w:pPr>
        <w:pStyle w:val="Heading"/>
      </w:pPr>
      <w:r>
        <w:t>2.25 General Principles</w:t>
      </w:r>
    </w:p>
    <w:p w14:paraId="4E843284" w14:textId="77777777" w:rsidR="006516A2" w:rsidRDefault="006516A2" w:rsidP="006516A2">
      <w:pPr>
        <w:pStyle w:val="NormalWeb"/>
      </w:pPr>
      <w:r>
        <w:t>Promotion to Associate Professor:  Unless a candidate is already appointed at the rank of associate professor or above, consideration of promotion to associate professor will occur coincidentally with consideration of indefinite appointment with tenure.  The process should follow that outlined in 2.3 ff.</w:t>
      </w:r>
    </w:p>
    <w:p w14:paraId="4092C280" w14:textId="77777777" w:rsidR="006516A2" w:rsidRDefault="006516A2" w:rsidP="006516A2">
      <w:pPr>
        <w:pStyle w:val="NormalWeb"/>
      </w:pPr>
      <w:r>
        <w:t xml:space="preserve">Promotion to Professor:  Promotion to Professor should follow the criteria and standards set by schools and colleges for satisfactory levels and recognition of achievement in the appropriate field(s), consistent with university-wide principles and in accordance with disciplinary, professional, and other academic norms.  </w:t>
      </w:r>
    </w:p>
    <w:p w14:paraId="593C8C74" w14:textId="77777777" w:rsidR="006516A2" w:rsidRDefault="006516A2" w:rsidP="006516A2">
      <w:pPr>
        <w:pStyle w:val="NormalWeb"/>
      </w:pPr>
      <w:r>
        <w:t>Procedures for review and recommendation may vary in the several schools and colleges but should conform to the general principles set forth in this document.</w:t>
      </w:r>
    </w:p>
    <w:p w14:paraId="02E523D3" w14:textId="77777777" w:rsidR="006516A2" w:rsidRDefault="006516A2" w:rsidP="006516A2">
      <w:pPr>
        <w:pStyle w:val="Body"/>
        <w:spacing w:before="100" w:after="100"/>
        <w:outlineLvl w:val="0"/>
        <w:rPr>
          <w:rFonts w:ascii="Times New Roman Bold" w:eastAsia="Times New Roman Bold" w:hAnsi="Times New Roman Bold" w:cs="Times New Roman Bold"/>
          <w:kern w:val="36"/>
          <w:sz w:val="48"/>
          <w:szCs w:val="48"/>
        </w:rPr>
      </w:pPr>
      <w:r>
        <w:rPr>
          <w:rFonts w:ascii="Times New Roman Bold"/>
          <w:kern w:val="36"/>
          <w:sz w:val="48"/>
          <w:szCs w:val="48"/>
        </w:rPr>
        <w:t>2.26 College/School Procedures</w:t>
      </w:r>
    </w:p>
    <w:p w14:paraId="2B9BF56C"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 xml:space="preserve">Each college and school is responsible for maintaining in writing a clear and unambiguous set of promotions procedures approved by a faculty majority. These procedures must be approved by the Senate Committee on Appointment and Promotions initially and after each substantial </w:t>
      </w:r>
      <w:r>
        <w:rPr>
          <w:rFonts w:ascii="Times New Roman"/>
          <w:sz w:val="24"/>
          <w:szCs w:val="24"/>
        </w:rPr>
        <w:lastRenderedPageBreak/>
        <w:t>modification. In the event of disapproval, the Senate Committee on Appointment and Promotions decision may be appealed to the full Senate.</w:t>
      </w:r>
    </w:p>
    <w:p w14:paraId="19230AAE"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School and College promotions committee membership will be determined in the following manner.</w:t>
      </w:r>
    </w:p>
    <w:p w14:paraId="705D628A" w14:textId="77777777" w:rsidR="006516A2" w:rsidRDefault="006516A2" w:rsidP="006516A2">
      <w:pPr>
        <w:pStyle w:val="Body"/>
        <w:numPr>
          <w:ilvl w:val="0"/>
          <w:numId w:val="3"/>
        </w:numPr>
        <w:spacing w:before="100" w:after="100"/>
        <w:ind w:left="690" w:hanging="330"/>
        <w:rPr>
          <w:rFonts w:ascii="Times New Roman" w:eastAsia="Times New Roman" w:hAnsi="Times New Roman" w:cs="Times New Roman"/>
        </w:rPr>
      </w:pPr>
      <w:r>
        <w:rPr>
          <w:rFonts w:ascii="Times New Roman"/>
          <w:sz w:val="24"/>
          <w:szCs w:val="24"/>
        </w:rPr>
        <w:t>Members should be selected according to procedures approved by the faculties of the respective schools and colleges. It is recommended that about one-third of the membership of any committee be carried over to the next year for continuity.</w:t>
      </w:r>
    </w:p>
    <w:p w14:paraId="499A4437" w14:textId="77777777" w:rsidR="006516A2" w:rsidRDefault="006516A2" w:rsidP="006516A2">
      <w:pPr>
        <w:pStyle w:val="Body"/>
        <w:numPr>
          <w:ilvl w:val="0"/>
          <w:numId w:val="4"/>
        </w:numPr>
        <w:spacing w:before="100" w:after="100"/>
        <w:ind w:left="690" w:hanging="330"/>
        <w:rPr>
          <w:rFonts w:ascii="Times New Roman" w:eastAsia="Times New Roman" w:hAnsi="Times New Roman" w:cs="Times New Roman"/>
        </w:rPr>
      </w:pPr>
      <w:r>
        <w:rPr>
          <w:rFonts w:ascii="Times New Roman"/>
          <w:sz w:val="24"/>
          <w:szCs w:val="24"/>
        </w:rPr>
        <w:t>Chairpersons of college and school promotion committees are elected by the committees themselves.</w:t>
      </w:r>
    </w:p>
    <w:p w14:paraId="3E37C407"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Individuals seeking promotion during the term in question will not be eligible for election to the committee.</w:t>
      </w:r>
    </w:p>
    <w:p w14:paraId="7C681668"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 xml:space="preserve">Criteria for promotion to the various ranks should be prepared in writing and made a part of the promotions procedures. Qualitative, if not quantitative, written statements should clearly express the requirements for promotion to the various ranks, including discussion of the various activities that faculty members engage in and their relative importance in each particular college. The normal minimum years in rank for promotion to the next higher rank are stated in </w:t>
      </w:r>
      <w:hyperlink r:id="rId6" w:history="1">
        <w:r>
          <w:rPr>
            <w:rStyle w:val="Hyperlink0"/>
            <w:rFonts w:ascii="Times New Roman"/>
          </w:rPr>
          <w:t>Section 2.23</w:t>
        </w:r>
      </w:hyperlink>
      <w:r>
        <w:rPr>
          <w:rFonts w:ascii="Times New Roman"/>
          <w:sz w:val="24"/>
          <w:szCs w:val="24"/>
        </w:rPr>
        <w:t>.</w:t>
      </w:r>
    </w:p>
    <w:p w14:paraId="40309A21"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The operation of college promotions committees includes the following:</w:t>
      </w:r>
    </w:p>
    <w:p w14:paraId="2395B1B1" w14:textId="77777777" w:rsidR="006516A2" w:rsidRDefault="006516A2" w:rsidP="006516A2">
      <w:pPr>
        <w:pStyle w:val="Body"/>
        <w:numPr>
          <w:ilvl w:val="0"/>
          <w:numId w:val="5"/>
        </w:numPr>
        <w:tabs>
          <w:tab w:val="num" w:pos="690"/>
        </w:tabs>
        <w:spacing w:before="100" w:after="100"/>
        <w:ind w:left="690" w:hanging="330"/>
        <w:rPr>
          <w:rFonts w:ascii="Times New Roman" w:eastAsia="Times New Roman" w:hAnsi="Times New Roman" w:cs="Times New Roman"/>
        </w:rPr>
      </w:pPr>
      <w:r>
        <w:rPr>
          <w:rFonts w:ascii="Times New Roman"/>
          <w:sz w:val="24"/>
          <w:szCs w:val="24"/>
        </w:rPr>
        <w:t>Provision must be made for peer contribution to members of the committees; student and faculty members will consult with other students, faculty members, and administrative personnel.</w:t>
      </w:r>
    </w:p>
    <w:p w14:paraId="40CE94A3" w14:textId="77777777" w:rsidR="006516A2" w:rsidRDefault="006516A2" w:rsidP="006516A2">
      <w:pPr>
        <w:pStyle w:val="Body"/>
        <w:numPr>
          <w:ilvl w:val="0"/>
          <w:numId w:val="6"/>
        </w:numPr>
        <w:tabs>
          <w:tab w:val="num" w:pos="690"/>
        </w:tabs>
        <w:spacing w:before="100" w:after="100"/>
        <w:ind w:left="690" w:hanging="330"/>
        <w:rPr>
          <w:rFonts w:ascii="Times New Roman" w:eastAsia="Times New Roman" w:hAnsi="Times New Roman" w:cs="Times New Roman"/>
        </w:rPr>
      </w:pPr>
      <w:r>
        <w:rPr>
          <w:rFonts w:ascii="Times New Roman"/>
          <w:sz w:val="24"/>
          <w:szCs w:val="24"/>
        </w:rPr>
        <w:t>Ample notice of meetings, in writing, must be given committee members.</w:t>
      </w:r>
    </w:p>
    <w:p w14:paraId="50291A0A"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Each promotions committee maintains a record of the following activities in case of future appeal</w:t>
      </w:r>
      <w:proofErr w:type="gramStart"/>
      <w:r>
        <w:rPr>
          <w:rFonts w:ascii="Times New Roman"/>
          <w:sz w:val="24"/>
          <w:szCs w:val="24"/>
        </w:rPr>
        <w:t>:.</w:t>
      </w:r>
      <w:proofErr w:type="gramEnd"/>
    </w:p>
    <w:p w14:paraId="53D8CFE4" w14:textId="77777777" w:rsidR="006516A2" w:rsidRDefault="006516A2" w:rsidP="006516A2">
      <w:pPr>
        <w:pStyle w:val="Body"/>
        <w:numPr>
          <w:ilvl w:val="0"/>
          <w:numId w:val="7"/>
        </w:numPr>
        <w:tabs>
          <w:tab w:val="num" w:pos="690"/>
        </w:tabs>
        <w:spacing w:before="100" w:after="100"/>
        <w:ind w:left="690" w:hanging="330"/>
        <w:rPr>
          <w:rFonts w:ascii="Times New Roman" w:eastAsia="Times New Roman" w:hAnsi="Times New Roman" w:cs="Times New Roman"/>
        </w:rPr>
      </w:pPr>
      <w:r>
        <w:rPr>
          <w:rFonts w:ascii="Times New Roman"/>
          <w:sz w:val="24"/>
          <w:szCs w:val="24"/>
        </w:rPr>
        <w:t>The times and locations of all meetings.</w:t>
      </w:r>
    </w:p>
    <w:p w14:paraId="3FAC4B00" w14:textId="77777777" w:rsidR="006516A2" w:rsidRDefault="006516A2" w:rsidP="006516A2">
      <w:pPr>
        <w:pStyle w:val="Body"/>
        <w:numPr>
          <w:ilvl w:val="0"/>
          <w:numId w:val="8"/>
        </w:numPr>
        <w:tabs>
          <w:tab w:val="num" w:pos="690"/>
        </w:tabs>
        <w:spacing w:before="100" w:after="100"/>
        <w:ind w:left="690" w:hanging="330"/>
        <w:rPr>
          <w:rFonts w:ascii="Times New Roman" w:eastAsia="Times New Roman" w:hAnsi="Times New Roman" w:cs="Times New Roman"/>
        </w:rPr>
      </w:pPr>
      <w:r>
        <w:rPr>
          <w:rFonts w:ascii="Times New Roman"/>
          <w:sz w:val="24"/>
          <w:szCs w:val="24"/>
        </w:rPr>
        <w:t>The list of attendees at each meeting.</w:t>
      </w:r>
    </w:p>
    <w:p w14:paraId="4FC60B6D" w14:textId="77777777" w:rsidR="006516A2" w:rsidRDefault="006516A2" w:rsidP="006516A2">
      <w:pPr>
        <w:pStyle w:val="Body"/>
        <w:numPr>
          <w:ilvl w:val="0"/>
          <w:numId w:val="9"/>
        </w:numPr>
        <w:tabs>
          <w:tab w:val="num" w:pos="690"/>
        </w:tabs>
        <w:spacing w:before="100" w:after="100"/>
        <w:ind w:left="690" w:hanging="330"/>
        <w:rPr>
          <w:rFonts w:ascii="Times New Roman" w:eastAsia="Times New Roman" w:hAnsi="Times New Roman" w:cs="Times New Roman"/>
        </w:rPr>
      </w:pPr>
      <w:r>
        <w:rPr>
          <w:rFonts w:ascii="Times New Roman"/>
          <w:sz w:val="24"/>
          <w:szCs w:val="24"/>
        </w:rPr>
        <w:t>The duration of each meeting.</w:t>
      </w:r>
    </w:p>
    <w:p w14:paraId="7BB138EC" w14:textId="77777777" w:rsidR="006516A2" w:rsidRDefault="006516A2" w:rsidP="006516A2">
      <w:pPr>
        <w:pStyle w:val="Body"/>
        <w:numPr>
          <w:ilvl w:val="0"/>
          <w:numId w:val="10"/>
        </w:numPr>
        <w:tabs>
          <w:tab w:val="num" w:pos="690"/>
        </w:tabs>
        <w:spacing w:before="100" w:after="100"/>
        <w:ind w:left="690" w:hanging="330"/>
        <w:rPr>
          <w:rFonts w:ascii="Times New Roman" w:eastAsia="Times New Roman" w:hAnsi="Times New Roman" w:cs="Times New Roman"/>
        </w:rPr>
      </w:pPr>
      <w:r>
        <w:rPr>
          <w:rFonts w:ascii="Times New Roman"/>
          <w:sz w:val="24"/>
          <w:szCs w:val="24"/>
        </w:rPr>
        <w:t>Significant actions taken at each meeting.</w:t>
      </w:r>
    </w:p>
    <w:p w14:paraId="58E1BE41" w14:textId="77777777" w:rsidR="006516A2" w:rsidRDefault="006516A2" w:rsidP="006516A2">
      <w:pPr>
        <w:pStyle w:val="Body"/>
        <w:numPr>
          <w:ilvl w:val="0"/>
          <w:numId w:val="11"/>
        </w:numPr>
        <w:tabs>
          <w:tab w:val="num" w:pos="690"/>
        </w:tabs>
        <w:spacing w:before="100" w:after="100"/>
        <w:ind w:left="690" w:hanging="330"/>
        <w:rPr>
          <w:rFonts w:ascii="Times New Roman" w:eastAsia="Times New Roman" w:hAnsi="Times New Roman" w:cs="Times New Roman"/>
        </w:rPr>
      </w:pPr>
      <w:r>
        <w:rPr>
          <w:rFonts w:ascii="Times New Roman"/>
          <w:sz w:val="24"/>
          <w:szCs w:val="24"/>
        </w:rPr>
        <w:t>Copy of letter to candidate indicating approval or denial of application for promotion.</w:t>
      </w:r>
    </w:p>
    <w:p w14:paraId="674C9BA7" w14:textId="77777777" w:rsidR="006516A2" w:rsidRDefault="006516A2" w:rsidP="006516A2">
      <w:pPr>
        <w:pStyle w:val="Body"/>
        <w:numPr>
          <w:ilvl w:val="0"/>
          <w:numId w:val="12"/>
        </w:numPr>
        <w:tabs>
          <w:tab w:val="num" w:pos="690"/>
        </w:tabs>
        <w:spacing w:before="100" w:after="100"/>
        <w:ind w:left="690" w:hanging="330"/>
        <w:rPr>
          <w:rFonts w:ascii="Times New Roman" w:eastAsia="Times New Roman" w:hAnsi="Times New Roman" w:cs="Times New Roman"/>
        </w:rPr>
      </w:pPr>
      <w:r>
        <w:rPr>
          <w:rFonts w:ascii="Times New Roman"/>
          <w:sz w:val="24"/>
          <w:szCs w:val="24"/>
        </w:rPr>
        <w:t>Initiations of recommendations.</w:t>
      </w:r>
    </w:p>
    <w:p w14:paraId="00FC3FEC" w14:textId="77777777" w:rsidR="006516A2" w:rsidRDefault="006516A2" w:rsidP="006516A2">
      <w:pPr>
        <w:pStyle w:val="Body"/>
        <w:spacing w:before="100" w:after="100"/>
        <w:rPr>
          <w:rFonts w:ascii="Times New Roman" w:eastAsia="Times New Roman" w:hAnsi="Times New Roman" w:cs="Times New Roman"/>
          <w:sz w:val="24"/>
          <w:szCs w:val="24"/>
        </w:rPr>
      </w:pPr>
    </w:p>
    <w:p w14:paraId="682CE393"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t>Promotion to professor will proceed with the same sequence of evaluations and actions as the University tenure process:  Recommendations flow from department (if appropriate) to the school/college committee to the dean for his/her independent evaluation.  The accumulated dossier and all recommendations will be forwarded to the Vice Chancellor for a decision, which will be transmitted to the Chancellor and the Board of Trustees for their concurrence.  The Vice Chancellor will communicate in writing to the deans and the school/college committees, the rationale for promotion decisions that differ from the committee</w:t>
      </w:r>
      <w:r>
        <w:rPr>
          <w:rFonts w:hAnsi="Arial Unicode MS"/>
          <w:sz w:val="24"/>
          <w:szCs w:val="24"/>
        </w:rPr>
        <w:t>’</w:t>
      </w:r>
      <w:r>
        <w:rPr>
          <w:rFonts w:ascii="Times New Roman"/>
          <w:sz w:val="24"/>
          <w:szCs w:val="24"/>
          <w:lang w:val="fr-FR"/>
        </w:rPr>
        <w:t xml:space="preserve">s </w:t>
      </w:r>
      <w:proofErr w:type="spellStart"/>
      <w:r>
        <w:rPr>
          <w:rFonts w:ascii="Times New Roman"/>
          <w:sz w:val="24"/>
          <w:szCs w:val="24"/>
          <w:lang w:val="fr-FR"/>
        </w:rPr>
        <w:t>recommendation</w:t>
      </w:r>
      <w:proofErr w:type="spellEnd"/>
      <w:r>
        <w:rPr>
          <w:rFonts w:ascii="Times New Roman"/>
          <w:sz w:val="24"/>
          <w:szCs w:val="24"/>
          <w:lang w:val="fr-FR"/>
        </w:rPr>
        <w:t>.</w:t>
      </w:r>
    </w:p>
    <w:p w14:paraId="1D236A01" w14:textId="77777777" w:rsidR="006516A2" w:rsidRPr="00E2495F" w:rsidRDefault="006516A2" w:rsidP="006516A2">
      <w:pPr>
        <w:pStyle w:val="Body"/>
        <w:spacing w:before="100" w:after="100"/>
        <w:rPr>
          <w:rFonts w:ascii="Times New Roman" w:eastAsia="Times New Roman" w:hAnsi="Times New Roman" w:cs="Times New Roman"/>
          <w:b/>
          <w:sz w:val="24"/>
          <w:szCs w:val="24"/>
        </w:rPr>
      </w:pPr>
      <w:r w:rsidRPr="00E2495F">
        <w:rPr>
          <w:rFonts w:ascii="Times New Roman"/>
          <w:b/>
          <w:sz w:val="24"/>
          <w:szCs w:val="24"/>
        </w:rPr>
        <w:t>Candidates for promotion to professor have the right to withdraw their candidacy for promotion at any time during the process and may resubmit on the timetable set out in the school/college rules.</w:t>
      </w:r>
    </w:p>
    <w:p w14:paraId="72A66102" w14:textId="77777777" w:rsidR="006516A2" w:rsidRDefault="006516A2" w:rsidP="006516A2">
      <w:pPr>
        <w:pStyle w:val="Body"/>
        <w:spacing w:before="100" w:after="100"/>
        <w:rPr>
          <w:rFonts w:ascii="Times New Roman" w:eastAsia="Times New Roman" w:hAnsi="Times New Roman" w:cs="Times New Roman"/>
          <w:sz w:val="24"/>
          <w:szCs w:val="24"/>
        </w:rPr>
      </w:pPr>
      <w:r>
        <w:rPr>
          <w:rFonts w:ascii="Times New Roman"/>
          <w:sz w:val="24"/>
          <w:szCs w:val="24"/>
        </w:rPr>
        <w:lastRenderedPageBreak/>
        <w:t>Action unfavorable to the candidate by the college promotions committee or the University may be appealed to the Senate Committee on Appointment and Promotion by either the candidate or the department, provided the grievance pertains to procedural matters; or to the Senate Committee on Academic Freedom, Tenure, and Professional Ethics (AFTPE) if the grievance pertains to denial of academic freedom or violation of professional ethics. The Committee</w:t>
      </w:r>
      <w:r>
        <w:rPr>
          <w:rFonts w:hAnsi="Arial Unicode MS"/>
          <w:sz w:val="24"/>
          <w:szCs w:val="24"/>
        </w:rPr>
        <w:t>’</w:t>
      </w:r>
      <w:r>
        <w:rPr>
          <w:rFonts w:ascii="Times New Roman"/>
          <w:sz w:val="24"/>
          <w:szCs w:val="24"/>
        </w:rPr>
        <w:t xml:space="preserve">s recommendations after review will be communicated to the Vice Chancellor and Provost, as well as the academic unit in which the action is being appealed. Candidates for promotion to professor whose applications are withdrawn or denied also may reapply for promotion, without pursuing </w:t>
      </w:r>
      <w:r w:rsidRPr="00E2495F">
        <w:rPr>
          <w:rFonts w:ascii="Times New Roman"/>
          <w:i/>
          <w:sz w:val="24"/>
          <w:szCs w:val="24"/>
        </w:rPr>
        <w:t>any</w:t>
      </w:r>
      <w:r>
        <w:rPr>
          <w:rFonts w:ascii="Times New Roman"/>
          <w:sz w:val="24"/>
          <w:szCs w:val="24"/>
        </w:rPr>
        <w:t xml:space="preserve"> appeal process, on the timetable set in the school or college.</w:t>
      </w:r>
    </w:p>
    <w:p w14:paraId="73E46FDA" w14:textId="77777777" w:rsidR="006516A2" w:rsidRDefault="006516A2" w:rsidP="006516A2">
      <w:pPr>
        <w:pStyle w:val="Heading"/>
      </w:pPr>
      <w:r w:rsidRPr="00E2495F">
        <w:t>2.27 Instructors</w:t>
      </w:r>
      <w:r w:rsidRPr="00E2495F">
        <w:br/>
      </w:r>
    </w:p>
    <w:p w14:paraId="1DA3EE37" w14:textId="77777777" w:rsidR="006516A2" w:rsidRDefault="006516A2" w:rsidP="006516A2">
      <w:pPr>
        <w:pStyle w:val="NormalWeb"/>
      </w:pPr>
      <w:r>
        <w:t>.</w:t>
      </w:r>
      <w:r>
        <w:br/>
      </w:r>
    </w:p>
    <w:p w14:paraId="34F67CBD" w14:textId="77777777" w:rsidR="006516A2" w:rsidRDefault="006516A2" w:rsidP="006516A2">
      <w:pPr>
        <w:pStyle w:val="NormalWeb"/>
      </w:pPr>
      <w:r>
        <w:t>Appropriate University officers are authorized to make initial appointments to the rank of assistant professor, contingent upon the completion of doctoral requirements (or any other terminal degree appropriate to the field of appointment). The appointee holds the rank of lecturer or instructor in the interim. Appointees who complete the requirements within a reasonable time after their appointment will not normally be presented for promotion review before receiving the rank of assistant professor.</w:t>
      </w:r>
    </w:p>
    <w:p w14:paraId="6F1C2072" w14:textId="77777777" w:rsidR="006516A2" w:rsidRDefault="006516A2" w:rsidP="006516A2">
      <w:pPr>
        <w:pStyle w:val="NormalWeb"/>
        <w:rPr>
          <w:rFonts w:ascii="Calibri" w:eastAsia="Calibri" w:hAnsi="Calibri" w:cs="Calibri"/>
          <w:i/>
          <w:iCs/>
        </w:rPr>
      </w:pPr>
      <w:r>
        <w:rPr>
          <w:rFonts w:ascii="Calibri" w:eastAsia="Calibri" w:hAnsi="Calibri" w:cs="Calibri"/>
          <w:i/>
          <w:iCs/>
        </w:rPr>
        <w:t>Approved by the Senate, November 2005</w:t>
      </w:r>
    </w:p>
    <w:p w14:paraId="2515A1B0" w14:textId="77777777" w:rsidR="006516A2" w:rsidRDefault="006516A2" w:rsidP="006516A2">
      <w:pPr>
        <w:pStyle w:val="Heading"/>
      </w:pPr>
      <w:r>
        <w:rPr>
          <w:lang w:val="de-DE"/>
        </w:rPr>
        <w:t>2.28 Non-Tenure Track Faculty</w:t>
      </w:r>
    </w:p>
    <w:p w14:paraId="49E8A28C" w14:textId="77777777" w:rsidR="006516A2" w:rsidRDefault="006516A2" w:rsidP="006516A2">
      <w:pPr>
        <w:pStyle w:val="NormalWeb"/>
      </w:pPr>
      <w:r>
        <w:t>Promotion of rank is available for non-tenure track faculty under certain situations and at the discretion of the school/college.</w:t>
      </w:r>
    </w:p>
    <w:p w14:paraId="7CB0A4E1" w14:textId="77777777" w:rsidR="006516A2" w:rsidRDefault="006516A2" w:rsidP="006516A2">
      <w:pPr>
        <w:pStyle w:val="Heading"/>
      </w:pPr>
      <w:r>
        <w:t>2.29 Emeritus Status</w:t>
      </w:r>
    </w:p>
    <w:p w14:paraId="1FB24BA5" w14:textId="77777777" w:rsidR="006516A2" w:rsidRDefault="006516A2" w:rsidP="006516A2">
      <w:pPr>
        <w:pStyle w:val="NormalWeb"/>
      </w:pPr>
      <w:r>
        <w:t xml:space="preserve">The title Emeritus or Emerita is an honor that may be conferred upon retirement. Recommendations and supporting evidence of distinction and service to the University proceed through a process of faculty nomination; endorsement by the dean, the Vice Chancellor and Provost, and the Senate Committee on Appointments and Promotions; and approved by the Senate and the Board of Trustees. This title may accompany any rank. </w:t>
      </w:r>
      <w:proofErr w:type="spellStart"/>
      <w:r>
        <w:t>EmeritusEmerita</w:t>
      </w:r>
      <w:proofErr w:type="spellEnd"/>
      <w:r>
        <w:t xml:space="preserve"> faculty members are continuing members of the University community and have a distinguished record of outstanding contribution to the University over a substantial number of years. Privileges exercised by emeritus/emerita faculty include listings in University publications; using University libraries; participating in academic processions; receiving notices of all University events; receiving a University staff identification card and discount privileges at the University Bookstores; and participating in academic, professional, or social activities of the faculty and staff.</w:t>
      </w:r>
    </w:p>
    <w:p w14:paraId="160CAED1" w14:textId="77777777" w:rsidR="006516A2" w:rsidRDefault="006516A2" w:rsidP="006516A2">
      <w:pPr>
        <w:pStyle w:val="NormalWeb"/>
      </w:pPr>
      <w:r>
        <w:t xml:space="preserve">In special cases, the title Emeritus or Emerita may be conferred upon a person retiring from an academic administration position at Syracuse University. The designation may be added to the titles of Chancellor, Vice Chancellor and Provost, and academic dean at the time of retirement </w:t>
      </w:r>
      <w:r>
        <w:lastRenderedPageBreak/>
        <w:t>from the administrative position or at the time of retirement from the University when there has been a distinguished record of University contributions and an expectation of continued service to the University.</w:t>
      </w:r>
    </w:p>
    <w:p w14:paraId="7F9B5267" w14:textId="77777777" w:rsidR="006516A2" w:rsidRDefault="006516A2" w:rsidP="006516A2">
      <w:pPr>
        <w:pStyle w:val="NormalWeb"/>
      </w:pPr>
      <w:r>
        <w:t>The title Emeritus/Emerita may be conferred posthumously, upon faculty recommendation, in those cases in which death precedes the possibility of retirement or within one academic year after retirement.</w:t>
      </w:r>
    </w:p>
    <w:p w14:paraId="04B52864" w14:textId="77777777" w:rsidR="006516A2" w:rsidRDefault="006516A2" w:rsidP="006516A2">
      <w:pPr>
        <w:pStyle w:val="NormalWeb"/>
        <w:rPr>
          <w:rFonts w:ascii="Calibri" w:eastAsia="Calibri" w:hAnsi="Calibri" w:cs="Calibri"/>
          <w:i/>
          <w:iCs/>
        </w:rPr>
      </w:pPr>
      <w:r>
        <w:rPr>
          <w:rFonts w:ascii="Calibri" w:eastAsia="Calibri" w:hAnsi="Calibri" w:cs="Calibri"/>
          <w:i/>
          <w:iCs/>
        </w:rPr>
        <w:t>Approved by the University Senate, November 2005</w:t>
      </w:r>
    </w:p>
    <w:p w14:paraId="34DB3841" w14:textId="77777777" w:rsidR="006516A2" w:rsidRDefault="006516A2" w:rsidP="006516A2">
      <w:pPr>
        <w:pStyle w:val="Heading"/>
      </w:pPr>
      <w:r>
        <w:rPr>
          <w:lang w:val="de-DE"/>
        </w:rPr>
        <w:t>2.3 Tenure</w:t>
      </w:r>
    </w:p>
    <w:p w14:paraId="5909EABB" w14:textId="77777777" w:rsidR="006516A2" w:rsidRDefault="006516A2" w:rsidP="006516A2">
      <w:pPr>
        <w:pStyle w:val="NormalWeb"/>
      </w:pPr>
      <w:r>
        <w:t>The following statement is the policy of Syracuse University with regard to tenure for instructional, research, and administrative personnel. This statement of tenure policy is also intended to include any persons who have served as full-time faculty members regardless of their specific titles.</w:t>
      </w:r>
    </w:p>
    <w:p w14:paraId="6C7EEEF5" w14:textId="77777777" w:rsidR="006516A2" w:rsidRDefault="006516A2" w:rsidP="006516A2">
      <w:pPr>
        <w:pStyle w:val="Heading"/>
      </w:pPr>
      <w:r>
        <w:t>2.31 An Expression of University Values</w:t>
      </w:r>
    </w:p>
    <w:p w14:paraId="5CA223D7" w14:textId="77777777" w:rsidR="006516A2" w:rsidRDefault="006516A2" w:rsidP="006516A2">
      <w:pPr>
        <w:pStyle w:val="NormalWeb"/>
      </w:pPr>
      <w:r>
        <w:t>The granting of tenure to faculty members at Syracuse University supports several values at the core of our academic enterprise. First, the values of faculty excellence should be demonstrable in the activities and strengths of the tenured faculty. Second, tenure is an integral part of sustaining the University</w:t>
      </w:r>
      <w:r>
        <w:rPr>
          <w:rFonts w:ascii="Arial Unicode MS"/>
        </w:rPr>
        <w:t>’</w:t>
      </w:r>
      <w:r>
        <w:t>s commitment to the concepts underlying academic freedom. Third, tenured status establishes the mutual expectations of the continued pursuit of excellence on the part of both the faculty member and the institution.</w:t>
      </w:r>
    </w:p>
    <w:p w14:paraId="5345CC3E" w14:textId="77777777" w:rsidR="006516A2" w:rsidRDefault="006516A2" w:rsidP="006516A2">
      <w:pPr>
        <w:pStyle w:val="NormalWeb"/>
      </w:pPr>
      <w:r>
        <w:t>The importance of tenure for the academic quality of the University means that the granting of the status is neither automatic nor a function of years of service. The earned privileges of tenure simultaneously convey a vested interest in the University, the expectation of continuous service as a faculty member, and the obligation to render continuing service to the University in pursuit of knowledge and impact. The presentation by the Vice Chancellor and Provost to the Board of Trustees of recommendations for tenure should be a culmination of a multi-level review process that embodies these core academic values.</w:t>
      </w:r>
    </w:p>
    <w:p w14:paraId="37B937E5" w14:textId="77777777" w:rsidR="006516A2" w:rsidRDefault="006516A2" w:rsidP="006516A2">
      <w:pPr>
        <w:pStyle w:val="Heading"/>
      </w:pPr>
      <w:r>
        <w:t>2.32 Processes and Limitations</w:t>
      </w:r>
    </w:p>
    <w:p w14:paraId="57A23012" w14:textId="77777777" w:rsidR="006516A2" w:rsidRDefault="006516A2" w:rsidP="006516A2">
      <w:pPr>
        <w:pStyle w:val="NormalWeb"/>
      </w:pPr>
      <w:r>
        <w:t>Tenure may be granted only by the Vice Chancellor and Provost, with the concurrence of the Chancellor and the Board of Trustees. Such an appointment may be extended only to members of Syracuse University with faculty rank. Tenure is not attached to appointments to administrative positions nor to appointments as department chairpersons in the University. Appointment to or relinquishment of such positions, however, will not deprive faculty members of tenure in the highest instructional rank they have attained at the University.</w:t>
      </w:r>
    </w:p>
    <w:p w14:paraId="041B0141" w14:textId="77777777" w:rsidR="006516A2" w:rsidRDefault="006516A2" w:rsidP="006516A2">
      <w:pPr>
        <w:pStyle w:val="NormalWeb"/>
      </w:pPr>
      <w:r>
        <w:t>Tenure is granted in one of two ways: First, faculty appointed to a full-time tenure-track position without tenure are reviewed for tenure following a probationary period. This review is conducted by the department(s) or appropriate unit(s), and school/college, in accordance with each unit</w:t>
      </w:r>
      <w:r>
        <w:rPr>
          <w:rFonts w:ascii="Arial Unicode MS"/>
        </w:rPr>
        <w:t>’</w:t>
      </w:r>
      <w:r>
        <w:t xml:space="preserve">s governance procedures. Each case is forwarded to the Vice-Chancellor and Provost for a decision, and to the Chancellor and Board of Trustees for concurrence. Candidates must be </w:t>
      </w:r>
      <w:r>
        <w:lastRenderedPageBreak/>
        <w:t>considered for tenure before the end of the sixth credited year, but may be considered any time before that date.</w:t>
      </w:r>
    </w:p>
    <w:p w14:paraId="1B0BBE82" w14:textId="77777777" w:rsidR="006516A2" w:rsidRDefault="006516A2" w:rsidP="006516A2">
      <w:pPr>
        <w:pStyle w:val="NormalWeb"/>
      </w:pPr>
      <w:r>
        <w:t>Candidates are considered for tenure only once, and tenure cannot be granted through any process other than those described here. Second, faculty may be appointed to the University with tenure through a recommendation for such action from the department(s) or appropriate unit(s), and school/college(s), in accordance with each unit</w:t>
      </w:r>
      <w:r>
        <w:rPr>
          <w:rFonts w:ascii="Arial Unicode MS"/>
        </w:rPr>
        <w:t>’</w:t>
      </w:r>
      <w:r>
        <w:t>s governance procedures. Each case is forwarded to the Vice Chancellor and Provost for a decision and to the Chancellor and Board of Trustees for concurrence.</w:t>
      </w:r>
    </w:p>
    <w:p w14:paraId="2C9834EE" w14:textId="77777777" w:rsidR="006516A2" w:rsidRDefault="006516A2" w:rsidP="006516A2">
      <w:pPr>
        <w:pStyle w:val="NormalWeb"/>
      </w:pPr>
      <w:r>
        <w:t>The formal review process for faculty in the probationary period will begin with the signed and dated irrevocable request on the standard form from the individual to initiate the tenure review. A request must be submitted to the office designated by the respective school and college prior to the solicitation of external evaluations of the candidate</w:t>
      </w:r>
      <w:r>
        <w:rPr>
          <w:rFonts w:ascii="Arial Unicode MS"/>
        </w:rPr>
        <w:t>’</w:t>
      </w:r>
      <w:r>
        <w:t>s qualifications for tenure. After the formal review process has begun, candidates for tenure may not withdraw from consideration and subsequently reapply for tenure. If an eligible faculty member fails to submit a formal request for a tenure review prior to the college or school deadline for completing the tenure review before the end of the sixth year of the probationary period, the University will consider the faculty member to have waived all claims for consideration for tenure.</w:t>
      </w:r>
    </w:p>
    <w:p w14:paraId="66334EAC" w14:textId="77777777" w:rsidR="006516A2" w:rsidRDefault="006516A2" w:rsidP="006516A2">
      <w:pPr>
        <w:pStyle w:val="NormalWeb"/>
      </w:pPr>
      <w:r>
        <w:t>Even if a tenure candidate</w:t>
      </w:r>
      <w:r>
        <w:rPr>
          <w:rFonts w:ascii="Arial Unicode MS"/>
        </w:rPr>
        <w:t>’</w:t>
      </w:r>
      <w:r>
        <w:t>s school or college accepts a request for tenure review, such acceptance does not constitute a waiver of the deadline set forth above and the consequences specified for failing to meet the deadline.</w:t>
      </w:r>
    </w:p>
    <w:p w14:paraId="595E0FDF" w14:textId="77777777" w:rsidR="006516A2" w:rsidRDefault="006516A2" w:rsidP="006516A2">
      <w:pPr>
        <w:pStyle w:val="NormalWeb"/>
      </w:pPr>
      <w:r>
        <w:t>Whereas the tenure process ends with the recommendation of the Vice Chancellor and Provost to the Board of Trustees, the departments and schools/colleges play a significant role in this process, from initial recruitment and appointment, annual evaluation, reappointments, development of candidate dossiers, conduct of tenure review and associated voting processes. Each school/college that holds tenured appointments has the responsibility to develop and to communicate widely the processes, procedures and criteria for appointments, pre-tenure reviews, promotion, and tenure. The departmental and school/college processes, procedures and guidelines regarding tenure and promotion to associate professor and for promotion to full professor should be clear and transparent, as well as congruent with the University processes, procedures and guidelines set forth herein.</w:t>
      </w:r>
    </w:p>
    <w:p w14:paraId="0893D3BA" w14:textId="77777777" w:rsidR="006516A2" w:rsidRDefault="006516A2" w:rsidP="006516A2">
      <w:pPr>
        <w:pStyle w:val="NormalWeb"/>
      </w:pPr>
      <w:r>
        <w:t>Unless the candidate already holds the rank of associate professor or above, the processes and procedures enumerated below should be undertaken in a single process and set of recommendations for promotion to associate and indefinite appointment with tenure.  When the text in the sections below refers to tenure, both tenure and promotion to associate professor are referenced jointly.</w:t>
      </w:r>
    </w:p>
    <w:p w14:paraId="2A2E47C2" w14:textId="77777777" w:rsidR="006516A2" w:rsidRDefault="006516A2" w:rsidP="006516A2">
      <w:pPr>
        <w:pStyle w:val="Heading"/>
      </w:pPr>
      <w:r>
        <w:t>2.33 Considerations for Tenure and Promotion</w:t>
      </w:r>
    </w:p>
    <w:p w14:paraId="4C83B85D" w14:textId="77777777" w:rsidR="006516A2" w:rsidRDefault="006516A2" w:rsidP="006516A2">
      <w:pPr>
        <w:pStyle w:val="NormalWeb"/>
      </w:pPr>
      <w:r>
        <w:t>While the activities and accomplishments to be evaluated for tenure and promotion will vary between programmatic and disciplinary areas of the University, as well as among individual faculty, the base criteria for tenure are themselves reflective of the academic and intellectual values of the University, as commonly held:</w:t>
      </w:r>
    </w:p>
    <w:p w14:paraId="7444AE49" w14:textId="77777777" w:rsidR="006516A2" w:rsidRDefault="006516A2" w:rsidP="006516A2">
      <w:pPr>
        <w:pStyle w:val="NormalWeb"/>
      </w:pPr>
      <w:r>
        <w:lastRenderedPageBreak/>
        <w:t>a. The candidate would contribute significantly to the overall quality of the unit</w:t>
      </w:r>
      <w:r>
        <w:rPr>
          <w:rFonts w:ascii="Arial Unicode MS"/>
        </w:rPr>
        <w:t>’</w:t>
      </w:r>
      <w:r>
        <w:t>s tenured faculty, as measured by the record of accomplishment at the time of consideration.</w:t>
      </w:r>
    </w:p>
    <w:p w14:paraId="09DF12F2" w14:textId="77777777" w:rsidR="006516A2" w:rsidRDefault="006516A2" w:rsidP="006516A2">
      <w:pPr>
        <w:pStyle w:val="NormalWeb"/>
      </w:pPr>
      <w:r>
        <w:t>b. The candidate has made, and is likely to continue to make, high-quality and valuable contributions in teaching, scholarship, and service to the extent that tenure is in the best interest of Syracuse University.</w:t>
      </w:r>
    </w:p>
    <w:p w14:paraId="4DE67B18" w14:textId="77777777" w:rsidR="006516A2" w:rsidRDefault="006516A2" w:rsidP="006516A2">
      <w:pPr>
        <w:pStyle w:val="Heading"/>
      </w:pPr>
      <w:r>
        <w:t>2.34 Areas of Expected Faculty Achievement: Teaching, Research, and Service</w:t>
      </w:r>
    </w:p>
    <w:p w14:paraId="1E0D35DE" w14:textId="77777777" w:rsidR="006516A2" w:rsidRDefault="006516A2" w:rsidP="006516A2">
      <w:pPr>
        <w:pStyle w:val="NormalWeb"/>
      </w:pPr>
      <w:r>
        <w:t>As a research university, Syracuse University expects that faculty members will be actively engaged in an intellectual and creative life that enhances the knowledge base and/or otherwise extends the boundaries in their chosen areas of concentration. The University also has a tradition of permitting various allocations of effort across research and teaching. Schools and Colleges are expected to provide guidance to all faculty regarding allocations of effort. In particular, Schools and Colleges must provide guidelines for those individuals whose teaching, research, and service do not sharply divide into distinct categories so that they can present integrated dossiers and accounts of activities.</w:t>
      </w:r>
    </w:p>
    <w:p w14:paraId="7BD83992" w14:textId="77777777" w:rsidR="006516A2" w:rsidRDefault="006516A2" w:rsidP="006516A2">
      <w:pPr>
        <w:pStyle w:val="NormalWeb"/>
        <w:rPr>
          <w:rFonts w:ascii="Calibri" w:eastAsia="Calibri" w:hAnsi="Calibri" w:cs="Calibri"/>
          <w:b/>
          <w:bCs/>
        </w:rPr>
      </w:pPr>
      <w:r>
        <w:rPr>
          <w:rFonts w:ascii="Calibri" w:eastAsia="Calibri" w:hAnsi="Calibri" w:cs="Calibri"/>
          <w:b/>
          <w:bCs/>
        </w:rPr>
        <w:t>Teaching</w:t>
      </w:r>
    </w:p>
    <w:p w14:paraId="31259186" w14:textId="77777777" w:rsidR="006516A2" w:rsidRDefault="006516A2" w:rsidP="006516A2">
      <w:pPr>
        <w:pStyle w:val="NormalWeb"/>
      </w:pPr>
      <w:r>
        <w:t>Syracuse University recognizes success in teaching among its tenured faculty to be of vital importance and values innovation and intellectual pursuit embedded within teaching. Teaching involves the art and skill required for the diffusion of knowledge and guidance toward its effective and independent use. The successful teacher, among other things, instructs in consonance with the School/College mission, has knowledge of subject matter, skillfully communicates and contributes to student learning and development, acts professionally and ethically, and strives continuously to improve. Quality teaching includes providing substantive feedback to students, revising curriculum to reflect developments in the field, and mastering appropriate pedagogical approaches. In addition to the instruction of individual courses, activities under the heading of teaching may include supervising independent study projects; advising; arranging and supervising internships, clinical placements or student research; serving on graduate examination committees and thesis, dissertation, dossier, and portfolio review committees; providing professional development for teaching assistants; involving students in community engagement projects; and instructing non-SU students or community members in a variety of venues.</w:t>
      </w:r>
    </w:p>
    <w:p w14:paraId="094C8259" w14:textId="77777777" w:rsidR="006516A2" w:rsidRDefault="006516A2" w:rsidP="006516A2">
      <w:pPr>
        <w:pStyle w:val="NormalWeb"/>
        <w:rPr>
          <w:rFonts w:ascii="Calibri" w:eastAsia="Calibri" w:hAnsi="Calibri" w:cs="Calibri"/>
          <w:b/>
          <w:bCs/>
        </w:rPr>
      </w:pPr>
      <w:r>
        <w:rPr>
          <w:rFonts w:ascii="Calibri" w:eastAsia="Calibri" w:hAnsi="Calibri" w:cs="Calibri"/>
          <w:b/>
          <w:bCs/>
        </w:rPr>
        <w:t>Research/scholarship/creative accomplishment</w:t>
      </w:r>
    </w:p>
    <w:p w14:paraId="57313A71" w14:textId="77777777" w:rsidR="006516A2" w:rsidRDefault="006516A2" w:rsidP="006516A2">
      <w:pPr>
        <w:pStyle w:val="NormalWeb"/>
      </w:pPr>
      <w:r>
        <w:t>Faculty members belong to scholarly and professional communities and are expected to advance these communities by contributing to knowledge through research or other forms of creative work. The Syracuse University faculty is strong in part because it engages in scholarship that comprises a spectrum of excellence from disciplinary to cross-disciplinary, from theoretical to applied, and from critical to interpretive.</w:t>
      </w:r>
    </w:p>
    <w:p w14:paraId="169BDE0A" w14:textId="77777777" w:rsidR="006516A2" w:rsidRDefault="006516A2" w:rsidP="006516A2">
      <w:pPr>
        <w:pStyle w:val="NormalWeb"/>
      </w:pPr>
      <w:r>
        <w:t>Scholarship means in-depth study, learning, inquiry and experimentation designed to make contributions to knowledge in specific fields or relevant disciplines. Scholarship, as measured by peer recognition of its originality, impact on, and importance to the development of the field(s) or relevant disciplines, is demonstrated most typically by refereed publications</w:t>
      </w:r>
      <w:r>
        <w:rPr>
          <w:rFonts w:ascii="Arial Unicode MS"/>
        </w:rPr>
        <w:t>—</w:t>
      </w:r>
      <w:r>
        <w:t xml:space="preserve">in journals, </w:t>
      </w:r>
      <w:r>
        <w:lastRenderedPageBreak/>
        <w:t>books of high quality, or other influential venues. It can also be demonstrated by high quality publications in other non- refereed but influential journals. Scholarship and research accomplishments are also demonstrated by the design and execution of basic or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w:t>
      </w:r>
      <w:r>
        <w:rPr>
          <w:rFonts w:ascii="Arial Unicode MS"/>
        </w:rPr>
        <w:t>’</w:t>
      </w:r>
      <w:r>
        <w:t>s field(s) of study or relevant disciplines; through such activities as editing, translation, the acquisition of significant patents, the compilation of information, and the development of materials that make information more accessible to researchers, other scholars, practitioners, and the public; and lecturing in professional and other public forums.</w:t>
      </w:r>
    </w:p>
    <w:p w14:paraId="74A1E911" w14:textId="77777777" w:rsidR="006516A2" w:rsidRDefault="006516A2" w:rsidP="006516A2">
      <w:pPr>
        <w:pStyle w:val="NormalWeb"/>
      </w:pPr>
      <w:r>
        <w:t>The appointment of a faculty member in the creative or performing arts may permit the primary assessment of efforts to be on scholarship, on artistic accomplishment, or on a balance between the two that is appropriate to the artist/scholar</w:t>
      </w:r>
      <w:r>
        <w:rPr>
          <w:rFonts w:ascii="Arial Unicode MS"/>
        </w:rPr>
        <w:t>’</w:t>
      </w:r>
      <w:r>
        <w:t>s appointment. For faculty members with such appointments, artistic accomplishment is most often demonstrated by dissemination of the artist</w:t>
      </w:r>
      <w:r>
        <w:rPr>
          <w:rFonts w:ascii="Arial Unicode MS"/>
        </w:rPr>
        <w:t>’</w:t>
      </w:r>
      <w:r>
        <w:t>s work through performance, publication or exhibition in professionally recognized settings. The artist</w:t>
      </w:r>
      <w:r>
        <w:rPr>
          <w:rFonts w:ascii="Arial Unicode MS"/>
        </w:rPr>
        <w:t>’</w:t>
      </w:r>
      <w:r>
        <w:t>s work will have an intrinsic value equal to scholarship and will be subject to equally rigorous evaluation.</w:t>
      </w:r>
    </w:p>
    <w:p w14:paraId="02771D4D" w14:textId="77777777" w:rsidR="006516A2" w:rsidRDefault="006516A2" w:rsidP="006516A2">
      <w:pPr>
        <w:pStyle w:val="NormalWeb"/>
      </w:pPr>
      <w:r>
        <w:t>Syracuse University is committed to longstanding traditions of scholarship as well as evolving perspectives on scholarship. Syracuse University recognizes that the role of academia is not static and that methodologies, topics of interest, and boundaries within and between disciplines change over time. The University will continue to support scholars in all of these traditions, including faculty who choose to participate in publicly engaged scholarship. Publicly engaged scholarship may involve partnerships of University knowledge and resources with those of the public and private sectors to enrich scholarship, research, creative activity, and public knowledge; enhance curriculum, teaching and learning; prepare educated, engaged citizens; strengthen democratic values and civic responsibility; address and help solve critical social problems; and contribute to the public good.</w:t>
      </w:r>
    </w:p>
    <w:p w14:paraId="2EABCAA5" w14:textId="77777777" w:rsidR="006516A2" w:rsidRDefault="006516A2" w:rsidP="006516A2">
      <w:pPr>
        <w:pStyle w:val="NormalWeb"/>
      </w:pPr>
      <w:r>
        <w:t xml:space="preserve">One can contribute to these goals in many ways </w:t>
      </w:r>
      <w:r>
        <w:rPr>
          <w:rFonts w:ascii="Arial Unicode MS"/>
        </w:rPr>
        <w:t>—</w:t>
      </w:r>
      <w:r>
        <w:t>individually through each of teaching, service and scholarship or in an integrated form</w:t>
      </w:r>
      <w:r>
        <w:rPr>
          <w:rFonts w:ascii="Arial Unicode MS"/>
        </w:rPr>
        <w:t>—</w:t>
      </w:r>
      <w:r>
        <w:t>all highly valued by Syracuse University. Such activity counts as scholarship, however, only when it makes a contribution to knowledge in specific field(s) or relevant disciplines. Such scholarship is to be evaluated with the same rigor and standards as all scholarship.</w:t>
      </w:r>
    </w:p>
    <w:p w14:paraId="0F89F436" w14:textId="77777777" w:rsidR="006516A2" w:rsidRDefault="006516A2" w:rsidP="006516A2">
      <w:pPr>
        <w:pStyle w:val="NormalWeb"/>
      </w:pPr>
      <w:r>
        <w:t>All scholarship will meet common expectations in terms of (1) ways of conducting the work (e.g., formulating problems, choosing topics of inquiry, framing questions, using systematic processes or methods, setting goals, making and carrying out plans, sustaining a scholarly agenda, observing ethical standards; (2) means of legitimating the work (e.g., providing theoretical foundations, making reasoned arguments, documenting the work, representing the work in various media, disseminating it to appropriate audiences and users, assessing outcomes or projects through review by appropriate evaluators); (3) connections to prior/current scholarship and to an intellectual community or communities (e.g., drawing on other scholars</w:t>
      </w:r>
      <w:r>
        <w:rPr>
          <w:rFonts w:ascii="Arial Unicode MS"/>
        </w:rPr>
        <w:t xml:space="preserve">’ </w:t>
      </w:r>
      <w:r>
        <w:t>work, contributing to current work, building on a scholar</w:t>
      </w:r>
      <w:r>
        <w:rPr>
          <w:rFonts w:ascii="Arial Unicode MS"/>
        </w:rPr>
        <w:t>’</w:t>
      </w:r>
      <w:r>
        <w:t xml:space="preserve">s previous work, placing work in an intellectual tradition); (4) qualities of the work (e.g., rigor, objectivity, caution, currency, originality, </w:t>
      </w:r>
      <w:proofErr w:type="spellStart"/>
      <w:r>
        <w:t>generativity</w:t>
      </w:r>
      <w:proofErr w:type="spellEnd"/>
      <w:r>
        <w:t xml:space="preserve">, independence of thought, critical stance, commitment); and (5) </w:t>
      </w:r>
      <w:r>
        <w:lastRenderedPageBreak/>
        <w:t>significance (e.g., audiences addressed, importance of goals, relevance beyond immediate project, effect on field, contribution to the public good).</w:t>
      </w:r>
    </w:p>
    <w:p w14:paraId="3A6A850C" w14:textId="77777777" w:rsidR="006516A2" w:rsidRDefault="006516A2" w:rsidP="006516A2">
      <w:pPr>
        <w:pStyle w:val="NormalWeb"/>
        <w:rPr>
          <w:rFonts w:ascii="Calibri" w:eastAsia="Calibri" w:hAnsi="Calibri" w:cs="Calibri"/>
          <w:b/>
          <w:bCs/>
        </w:rPr>
      </w:pPr>
      <w:r>
        <w:rPr>
          <w:rFonts w:ascii="Calibri" w:eastAsia="Calibri" w:hAnsi="Calibri" w:cs="Calibri"/>
          <w:b/>
          <w:bCs/>
        </w:rPr>
        <w:t>Service</w:t>
      </w:r>
    </w:p>
    <w:p w14:paraId="237EF780" w14:textId="77777777" w:rsidR="006516A2" w:rsidRDefault="006516A2" w:rsidP="006516A2">
      <w:pPr>
        <w:pStyle w:val="NormalWeb"/>
      </w:pPr>
      <w:r>
        <w:t>Syracuse University asserts the importance of faculty service for the vitality of its academic community, for the professions it represents, and for society at large. Significant accomplishment in the area of service alone is not sufficient for the attainment of tenure. However, significant accomplishment in service, when in conjunction with or integrated with high quality teaching or research, strengthens the candidate</w:t>
      </w:r>
      <w:r>
        <w:rPr>
          <w:rFonts w:ascii="Arial Unicode MS"/>
        </w:rPr>
        <w:t>’</w:t>
      </w:r>
      <w:r>
        <w:t>s dossier. Service includes membership or leadership on committees at program, department, School/College, or University levels as appropriate to the faculty member</w:t>
      </w:r>
      <w:r>
        <w:rPr>
          <w:rFonts w:ascii="Arial Unicode MS"/>
        </w:rPr>
        <w:t>’</w:t>
      </w:r>
      <w:r>
        <w:t>s rank, as well as administrative functions or other leadership roles. In addition to formal assignments of duties, faculty individually can prove valuable in efforts such as recruiting and mentoring students, faculty, and staff. Service also includes contributions to professional societies, governmental and academic institutions, and the community at large when these contributions reflect faculty members</w:t>
      </w:r>
      <w:r>
        <w:rPr>
          <w:rFonts w:ascii="Arial Unicode MS"/>
        </w:rPr>
        <w:t xml:space="preserve">’ </w:t>
      </w:r>
      <w:r>
        <w:t>professional expertise or standing. The expectation regarding the quantity of service activities for faculty in the probationary period may vary by unit, according to its size and norms. Service activities should be of high quality.</w:t>
      </w:r>
    </w:p>
    <w:p w14:paraId="58E9B0AE" w14:textId="77777777" w:rsidR="006516A2" w:rsidRDefault="006516A2" w:rsidP="006516A2">
      <w:pPr>
        <w:pStyle w:val="NormalWeb"/>
        <w:rPr>
          <w:rFonts w:ascii="Calibri" w:eastAsia="Calibri" w:hAnsi="Calibri" w:cs="Calibri"/>
          <w:i/>
          <w:iCs/>
        </w:rPr>
      </w:pPr>
      <w:r>
        <w:rPr>
          <w:rFonts w:ascii="Calibri" w:eastAsia="Calibri" w:hAnsi="Calibri" w:cs="Calibri"/>
          <w:i/>
          <w:iCs/>
        </w:rPr>
        <w:t>Approved by the University Senate March 2009</w:t>
      </w:r>
    </w:p>
    <w:p w14:paraId="182BF27B" w14:textId="77777777" w:rsidR="006516A2" w:rsidRDefault="006516A2" w:rsidP="006516A2">
      <w:pPr>
        <w:pStyle w:val="Heading"/>
      </w:pPr>
      <w:r>
        <w:t>2.35 Setting Expectations and Assessing Progress</w:t>
      </w:r>
    </w:p>
    <w:p w14:paraId="69022868" w14:textId="77777777" w:rsidR="006516A2" w:rsidRDefault="006516A2" w:rsidP="006516A2">
      <w:pPr>
        <w:pStyle w:val="NormalWeb"/>
      </w:pPr>
      <w:r>
        <w:t xml:space="preserve">In addition to the annual review required for all probationary </w:t>
      </w:r>
      <w:proofErr w:type="gramStart"/>
      <w:r>
        <w:t>faculty</w:t>
      </w:r>
      <w:proofErr w:type="gramEnd"/>
      <w:r>
        <w:t>, each unit will devise for each tenure-track faculty member a mechanism of intensive review to take place in the third year of credited service. This review is meant to assess progress toward tenure and ensure substantial feedback to tenure-track faculty about that progress. If the faculty member has submitted the Request for Tenure Review form and this review would be conducted simultaneously with tenure review, this review should be waived.</w:t>
      </w:r>
    </w:p>
    <w:p w14:paraId="12D501D0" w14:textId="77777777" w:rsidR="006516A2" w:rsidRDefault="006516A2" w:rsidP="006516A2">
      <w:pPr>
        <w:pStyle w:val="NormalWeb"/>
      </w:pPr>
      <w:r>
        <w:t>The third-year review must include substantial formative and evaluative input from the unit</w:t>
      </w:r>
      <w:r>
        <w:rPr>
          <w:rFonts w:ascii="Arial Unicode MS"/>
        </w:rPr>
        <w:t>’</w:t>
      </w:r>
      <w:r>
        <w:t>s faculty and its administrative leader. It should also include proactive and supportive advice on future activities that will enable the faculty member to progress toward tenure. Faculty members being reviewed will be asked to provide their own reflections on their teaching, scholarly, and service accomplishments and the directions they are pursuing.</w:t>
      </w:r>
    </w:p>
    <w:p w14:paraId="10B34ED9" w14:textId="77777777" w:rsidR="006516A2" w:rsidRDefault="006516A2" w:rsidP="006516A2">
      <w:pPr>
        <w:pStyle w:val="NormalWeb"/>
      </w:pPr>
      <w:r>
        <w:t>The results of the review must be delivered in writing to the untenured faculty member. An opportunity must then be provided for in-person discussion with the unit leader and /or an appropriate designee. The candidate has the opportunity to provide a written response to the evaluation, which will also be placed in the faculty member</w:t>
      </w:r>
      <w:r>
        <w:rPr>
          <w:rFonts w:ascii="Arial Unicode MS"/>
        </w:rPr>
        <w:t>’</w:t>
      </w:r>
      <w:r>
        <w:t>s file.</w:t>
      </w:r>
    </w:p>
    <w:p w14:paraId="49E49CD8" w14:textId="77777777" w:rsidR="006516A2" w:rsidRDefault="006516A2" w:rsidP="006516A2">
      <w:pPr>
        <w:pStyle w:val="NormalWeb"/>
      </w:pPr>
      <w:r>
        <w:t>Copies of the signed and countersigned evaluation and the supporting materials will be placed in the faculty files of the School/College and the Office of Academic Affairs upon completion. While the format of the review should be based upon the unit</w:t>
      </w:r>
      <w:r>
        <w:rPr>
          <w:rFonts w:ascii="Arial Unicode MS"/>
        </w:rPr>
        <w:t>’</w:t>
      </w:r>
      <w:r>
        <w:t>s own policies, it should be evidence- based given the importance of the feedback to the untenured faculty member. This review must be substantive and of a critical nature, and the expectation is that even candidates making good or excellent progress will receive serious advice from senior colleagues.</w:t>
      </w:r>
    </w:p>
    <w:p w14:paraId="6261E548" w14:textId="77777777" w:rsidR="006516A2" w:rsidRDefault="006516A2" w:rsidP="006516A2">
      <w:pPr>
        <w:pStyle w:val="NormalWeb"/>
      </w:pPr>
      <w:r>
        <w:lastRenderedPageBreak/>
        <w:t>If the timing of the review allows, the review may be used as the basis for appointment renewal or non-renewal of probationary faculty, in accordance with Faculty Manual 2.38 and the by-laws of the unit and the school/college. Regardless of timing, a comparable process of evaluation and the substantial involvement of the unit</w:t>
      </w:r>
      <w:r>
        <w:rPr>
          <w:rFonts w:ascii="Arial Unicode MS"/>
        </w:rPr>
        <w:t>’</w:t>
      </w:r>
      <w:r>
        <w:t>s faculty must accompany contract renewals for probationary faculty.</w:t>
      </w:r>
    </w:p>
    <w:p w14:paraId="60A5DAB0" w14:textId="77777777" w:rsidR="006516A2" w:rsidRDefault="006516A2" w:rsidP="006516A2">
      <w:pPr>
        <w:pStyle w:val="NormalWeb"/>
        <w:rPr>
          <w:rFonts w:ascii="Calibri" w:eastAsia="Calibri" w:hAnsi="Calibri" w:cs="Calibri"/>
          <w:i/>
          <w:iCs/>
        </w:rPr>
      </w:pPr>
      <w:r>
        <w:rPr>
          <w:rFonts w:ascii="Calibri" w:eastAsia="Calibri" w:hAnsi="Calibri" w:cs="Calibri"/>
          <w:i/>
          <w:iCs/>
        </w:rPr>
        <w:t>Approved, University Senate October 2009</w:t>
      </w:r>
    </w:p>
    <w:p w14:paraId="55C3827B" w14:textId="77777777" w:rsidR="006516A2" w:rsidRDefault="006516A2" w:rsidP="006516A2">
      <w:pPr>
        <w:pStyle w:val="Heading"/>
      </w:pPr>
      <w:r>
        <w:t>2.36 Principles and General Guidelines for Tenure Decisions (Vice Chancellor and Provost</w:t>
      </w:r>
      <w:r>
        <w:rPr>
          <w:rFonts w:ascii="Arial Unicode MS"/>
          <w:lang w:val="fr-FR"/>
        </w:rPr>
        <w:t>’</w:t>
      </w:r>
      <w:r>
        <w:rPr>
          <w:lang w:val="nl-NL"/>
        </w:rPr>
        <w:t>s Guidelines)</w:t>
      </w:r>
    </w:p>
    <w:p w14:paraId="48717BC7" w14:textId="77777777" w:rsidR="006516A2" w:rsidRDefault="006516A2" w:rsidP="006516A2">
      <w:pPr>
        <w:pStyle w:val="NormalWeb"/>
      </w:pPr>
      <w:r>
        <w:t>The importance of tenure decisions to the quality of the University, and the impact of such decisions on the lives of tenure candidates, demand that the preparation of a tenure dossier be a matter of the highest priority for the individual and the appropriate academic unit (most often the department).The dossier makes the case for the candidate</w:t>
      </w:r>
      <w:r>
        <w:rPr>
          <w:rFonts w:ascii="Arial Unicode MS"/>
        </w:rPr>
        <w:t>’</w:t>
      </w:r>
      <w:r>
        <w:t>s accomplishments</w:t>
      </w:r>
      <w:r>
        <w:rPr>
          <w:rFonts w:ascii="Arial Unicode MS"/>
        </w:rPr>
        <w:t>—</w:t>
      </w:r>
      <w:r>
        <w:t>and ultimately for his or her continuing appointment</w:t>
      </w:r>
      <w:r>
        <w:rPr>
          <w:rFonts w:ascii="Arial Unicode MS"/>
        </w:rPr>
        <w:t>—</w:t>
      </w:r>
      <w:r>
        <w:t>and thus the academic unit has an ethical responsibility to conduct as thorough and as balanced a review as possible.</w:t>
      </w:r>
    </w:p>
    <w:p w14:paraId="44A66BFE" w14:textId="77777777" w:rsidR="006516A2" w:rsidRDefault="006516A2" w:rsidP="006516A2">
      <w:pPr>
        <w:pStyle w:val="NormalWeb"/>
      </w:pPr>
      <w:r>
        <w:t>Because the dossier should contain extensive evaluative documentation as well as the presentation of materials, the candidate is not responsible for the assembly of the dossier in its final form or its transmission to the Office of the Vice Chancellor and Provost, although it is expected that the candidate will work closely with the academic unit to provide high-quality materials.</w:t>
      </w:r>
    </w:p>
    <w:p w14:paraId="3F89BBED" w14:textId="77777777" w:rsidR="006516A2" w:rsidRDefault="006516A2" w:rsidP="006516A2">
      <w:pPr>
        <w:pStyle w:val="NormalWeb"/>
      </w:pPr>
      <w:r>
        <w:t>The process for selecting the membership of department and School/College tenure and promotion committees should be set out clearly in the department/School/College bylaws. Those bylaws should respect three principles:</w:t>
      </w:r>
    </w:p>
    <w:p w14:paraId="21FB45F8" w14:textId="77777777" w:rsidR="006516A2" w:rsidRDefault="006516A2" w:rsidP="006516A2">
      <w:pPr>
        <w:pStyle w:val="NormalWeb"/>
      </w:pPr>
      <w:r>
        <w:t>a. The deliberative bodies should be independent across levels (i.e., no individual should actively participate or vote in two levels of the process, such as at both the department and School/College level, for any single individual).</w:t>
      </w:r>
    </w:p>
    <w:p w14:paraId="3FB810E3" w14:textId="77777777" w:rsidR="006516A2" w:rsidRDefault="006516A2" w:rsidP="006516A2">
      <w:pPr>
        <w:pStyle w:val="NormalWeb"/>
      </w:pPr>
      <w:r>
        <w:t>b. Committees for tenure and promotion should exclude individuals with potential conflicts of interest. In these committees, potential conflicts of interest occur when individuals who may directly or indirectly derive a personal benefit are in a position to influence a decision (e.g., tenure of a spouse or partner). Individuals may also recuse themselves from service in cases in which participation or voting might pose a substantial conflict with the performance of their primary duties in the University.</w:t>
      </w:r>
    </w:p>
    <w:p w14:paraId="136CAD7C" w14:textId="77777777" w:rsidR="006516A2" w:rsidRDefault="006516A2" w:rsidP="006516A2">
      <w:pPr>
        <w:pStyle w:val="NormalWeb"/>
      </w:pPr>
      <w:r>
        <w:t>c. The process of evaluation, deliberation, and voting leading to academic unit recommendations regarding tenure is the responsibility of tenured members of the faculty. At the departmental level, the voting body should be comprised only of tenured members. In no voting body should untenured members constitute a substantial portion of those eligible to cast ballots. All Schools and Colleges should provide a description and justification of unit practices regarding voting to the Vice Chancellor and Provost before May 15 prior to any academic year in which a candidate for tenure is expected to be presented.</w:t>
      </w:r>
    </w:p>
    <w:p w14:paraId="4B48196E" w14:textId="77777777" w:rsidR="006516A2" w:rsidRDefault="006516A2" w:rsidP="006516A2">
      <w:pPr>
        <w:pStyle w:val="NormalWeb"/>
      </w:pPr>
      <w:r>
        <w:lastRenderedPageBreak/>
        <w:t>It is the responsibility of the appropriate unit head to fulfill all established professional responsibilities appropriate to the position for all tenure candidates, including helping the candidate to make the strongest possible case for tenure, given accomplishments to-date, talent, and promise. It is the candidate, however, who bears responsibility for providing information about his/her academic accomplishments using the</w:t>
      </w:r>
      <w:r>
        <w:rPr>
          <w:rFonts w:ascii="Arial Unicode MS"/>
        </w:rPr>
        <w:t> </w:t>
      </w:r>
      <w:hyperlink r:id="rId7" w:history="1">
        <w:r>
          <w:rPr>
            <w:rStyle w:val="Hyperlink1"/>
          </w:rPr>
          <w:t>Form A document</w:t>
        </w:r>
      </w:hyperlink>
      <w:r>
        <w:t xml:space="preserve"> which includes two parts: (1) Outline of Professional Experience and (2) Candidate</w:t>
      </w:r>
      <w:r>
        <w:rPr>
          <w:rFonts w:ascii="Arial Unicode MS"/>
        </w:rPr>
        <w:t>’</w:t>
      </w:r>
      <w:r>
        <w:t>s Professional Statement.</w:t>
      </w:r>
    </w:p>
    <w:p w14:paraId="28047152" w14:textId="77777777" w:rsidR="006516A2" w:rsidRDefault="006516A2" w:rsidP="006516A2">
      <w:pPr>
        <w:pStyle w:val="NormalWeb"/>
      </w:pPr>
      <w:r>
        <w:t>The appropriate unit head (department/School/College) is responsible for providing a detailed executive summary of the evaluative processes and statements made by individuals and committees. The unit head should then include his or her own evaluative comments, addressing and clarifying any conflicts in materials presented; adding information that would be helpful in subsequent evaluative processes; and addressing any negative aspects of the candidate</w:t>
      </w:r>
      <w:r>
        <w:rPr>
          <w:rFonts w:ascii="Arial Unicode MS"/>
        </w:rPr>
        <w:t>’</w:t>
      </w:r>
      <w:r>
        <w:t>s record or the external reviews</w:t>
      </w:r>
      <w:r>
        <w:rPr>
          <w:rFonts w:ascii="Arial Unicode MS"/>
        </w:rPr>
        <w:t xml:space="preserve">— </w:t>
      </w:r>
      <w:r>
        <w:t>explaining any mitigating factors that should be considered.</w:t>
      </w:r>
    </w:p>
    <w:p w14:paraId="4D7C20E5" w14:textId="77777777" w:rsidR="006516A2" w:rsidRDefault="006516A2" w:rsidP="006516A2">
      <w:pPr>
        <w:pStyle w:val="NormalWeb"/>
      </w:pPr>
      <w:r>
        <w:t>The use of external evaluators and critics is an essential feature of a thorough tenure review process. Reviewers should be chosen from the relevant publics and audiences for the candidate</w:t>
      </w:r>
      <w:r>
        <w:rPr>
          <w:rFonts w:ascii="Arial Unicode MS"/>
        </w:rPr>
        <w:t>’</w:t>
      </w:r>
      <w:r>
        <w:t>s achievements. Reviewers should be of sufficient rank, status, and accomplishment to make the judgments asked of them. Those qualities should be assessed by such factors as institutional affiliation, academic rank, prestige in a non-academic enterprise, or membership and knowledgeable participation in a relevant community of experts. Outside reviewers will be selected as appropriate to, and in accordance with, the conventions of the candidate</w:t>
      </w:r>
      <w:r>
        <w:rPr>
          <w:rFonts w:ascii="Arial Unicode MS"/>
        </w:rPr>
        <w:t>’</w:t>
      </w:r>
      <w:r>
        <w:t>s discipline(s) and School/College(s). For example, in the professional schools it is not unusual for some of the outside evaluators to be non- academic professionals and some to be senior-rank academics in comparable professional schools. In the liberal arts and sciences it is more typical that all or most of the outside reviewers be senior-rank academics. Generally, reviewers</w:t>
      </w:r>
      <w:r>
        <w:rPr>
          <w:rFonts w:ascii="Arial Unicode MS"/>
        </w:rPr>
        <w:t xml:space="preserve">’ </w:t>
      </w:r>
      <w:r>
        <w:t>programs or departments should be of at least comparable quality to the candidate</w:t>
      </w:r>
      <w:r>
        <w:rPr>
          <w:rFonts w:ascii="Arial Unicode MS"/>
        </w:rPr>
        <w:t>’</w:t>
      </w:r>
      <w:r>
        <w:t>s program/department. The reasons for selecting all reviewers should be explained in the dossier, and any divergence from the conventions of the academic discipline should be explained. The candidate should be given the opportunity to nominate external reviewers, and that list should include sufficient names to allow choice for the committee and anonymity for the final roster of reviewers. The committee should nominate its own separate list of potential reviewers, and the final roster of outside evaluators should feature a majority of reviewers from the committee</w:t>
      </w:r>
      <w:r>
        <w:rPr>
          <w:rFonts w:ascii="Arial Unicode MS"/>
        </w:rPr>
        <w:t>’</w:t>
      </w:r>
      <w:r>
        <w:t>s list. In order to minimize conflicts of interest, letters from close colleagues/collaborators, former professors or graduate advisors, or other similar individuals are discouraged. If such individuals are included in the roster of reviewers, their presence and impartiality must be explained in the dossier. At each level in the tenure process, all information generated by the appropriate evaluative bodies, including any formal votes, should be transmitted to subsequent evaluators.</w:t>
      </w:r>
    </w:p>
    <w:p w14:paraId="2E06BD52" w14:textId="77777777" w:rsidR="006516A2" w:rsidRDefault="006516A2" w:rsidP="006516A2">
      <w:pPr>
        <w:pStyle w:val="Heading"/>
      </w:pPr>
      <w:r>
        <w:t>2.37 Tenure Clock Flexibility</w:t>
      </w:r>
    </w:p>
    <w:p w14:paraId="5399BB3E" w14:textId="77777777" w:rsidR="006516A2" w:rsidRDefault="006516A2" w:rsidP="006516A2">
      <w:pPr>
        <w:pStyle w:val="NormalWeb"/>
      </w:pPr>
      <w:r>
        <w:t xml:space="preserve">The term </w:t>
      </w:r>
      <w:r>
        <w:rPr>
          <w:rFonts w:ascii="Arial Unicode MS"/>
        </w:rPr>
        <w:t>“</w:t>
      </w:r>
      <w:r>
        <w:t>credited year</w:t>
      </w:r>
      <w:r>
        <w:rPr>
          <w:rFonts w:ascii="Arial Unicode MS"/>
        </w:rPr>
        <w:t xml:space="preserve">” </w:t>
      </w:r>
      <w:r>
        <w:t>means a year of service at Syracuse University identified in the faculty member</w:t>
      </w:r>
      <w:r>
        <w:rPr>
          <w:rFonts w:ascii="Arial Unicode MS"/>
        </w:rPr>
        <w:t>’</w:t>
      </w:r>
      <w:r>
        <w:t xml:space="preserve">s appointment letter as a full-time tenure-track appointment. Under certain circumstances, the tenure clock can be stopped when the request is made by the faculty member through the department and/or school/college and approved by the Office of the Provost. Events for which the clock may normally be stopped, after the submission of documentation, include life events that would, in most circumstances, have generated a request for parental, maternity, </w:t>
      </w:r>
      <w:r>
        <w:lastRenderedPageBreak/>
        <w:t xml:space="preserve">family medical, military or disability leave, disrupting one or more semesters of work during the probationary period. Other situations that may warrant consideration of stopping the tenure clock include fulfillment of extraordinary institutional service, such as teaching in </w:t>
      </w:r>
      <w:proofErr w:type="spellStart"/>
      <w:r>
        <w:t>SUAbroad</w:t>
      </w:r>
      <w:proofErr w:type="spellEnd"/>
      <w:r>
        <w:t xml:space="preserve"> or serving in an administrative position during the probationary period, where these circumstances interrupt or substantially slow progress toward tenure. The year(s) approved by the Provost</w:t>
      </w:r>
      <w:r>
        <w:rPr>
          <w:rFonts w:ascii="Arial Unicode MS"/>
        </w:rPr>
        <w:t>’</w:t>
      </w:r>
      <w:r>
        <w:t>s Office through this process will not count as credited years toward tenure when reported to the school/college promotion and tenure committee.</w:t>
      </w:r>
    </w:p>
    <w:p w14:paraId="4BB12C2A" w14:textId="77777777" w:rsidR="006516A2" w:rsidRDefault="006516A2" w:rsidP="006516A2">
      <w:pPr>
        <w:pStyle w:val="NormalWeb"/>
        <w:rPr>
          <w:rFonts w:ascii="Calibri" w:eastAsia="Calibri" w:hAnsi="Calibri" w:cs="Calibri"/>
          <w:i/>
          <w:iCs/>
        </w:rPr>
      </w:pPr>
      <w:r>
        <w:rPr>
          <w:rFonts w:ascii="Calibri" w:eastAsia="Calibri" w:hAnsi="Calibri" w:cs="Calibri"/>
          <w:i/>
          <w:iCs/>
        </w:rPr>
        <w:t>Approved by the University Senate, April 2008</w:t>
      </w:r>
    </w:p>
    <w:p w14:paraId="66F81DA6" w14:textId="77777777" w:rsidR="006516A2" w:rsidRDefault="006516A2" w:rsidP="006516A2">
      <w:pPr>
        <w:pStyle w:val="Heading"/>
      </w:pPr>
      <w:r>
        <w:t>2.38 Notice of Tenure Decision</w:t>
      </w:r>
    </w:p>
    <w:p w14:paraId="579653B4" w14:textId="77777777" w:rsidR="006516A2" w:rsidRDefault="006516A2" w:rsidP="006516A2">
      <w:pPr>
        <w:pStyle w:val="NormalWeb"/>
      </w:pPr>
      <w:r>
        <w:t>Written notice of the tenure decision, whether positive or negative, will be given to faculty members at the time of the decision. If the decision is negative, the written notice will indicate that the appointment for the remainder of the probationary period becomes terminal. A negative tenure decision will be accompanied by a terminal one-year appointment. If the decision is affirmative, tenure formally begins on the date the Board of Trustees confers tenure.</w:t>
      </w:r>
    </w:p>
    <w:p w14:paraId="3D15F788" w14:textId="77777777" w:rsidR="00AD43C2" w:rsidRDefault="006516A2" w:rsidP="006516A2">
      <w:r>
        <w:t xml:space="preserve">It is the right of every faculty member when informed by the University of a denial of tenure, to appeal this decision on the basis of a procedural violation before the Senate Committee on Appointments and Promotions or on the basis of denial of academic freedom or violation of professional ethics before the Senate Committee on Academic Freedom, Tenure, and Professional Ethics (AFTPE). Also, Syracuse University is an Affirmative Action/Equal Opportunity employer and maintains a grievance procedure for any employee believing </w:t>
      </w:r>
      <w:proofErr w:type="gramStart"/>
      <w:r>
        <w:t>himself</w:t>
      </w:r>
      <w:proofErr w:type="gramEnd"/>
      <w:r>
        <w:t xml:space="preserve"> or herself to have been subject to </w:t>
      </w:r>
      <w:proofErr w:type="spellStart"/>
      <w:r>
        <w:t>discriminatio</w:t>
      </w:r>
      <w:proofErr w:type="spellEnd"/>
    </w:p>
    <w:sectPr w:rsidR="00AD4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040"/>
    <w:multiLevelType w:val="multilevel"/>
    <w:tmpl w:val="394C8B64"/>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1D9755D5"/>
    <w:multiLevelType w:val="multilevel"/>
    <w:tmpl w:val="29AE516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208A0729"/>
    <w:multiLevelType w:val="multilevel"/>
    <w:tmpl w:val="C382C59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24742C41"/>
    <w:multiLevelType w:val="multilevel"/>
    <w:tmpl w:val="EAE25E82"/>
    <w:styleLink w:val="List3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34AF4B49"/>
    <w:multiLevelType w:val="multilevel"/>
    <w:tmpl w:val="D34464E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435426FC"/>
    <w:multiLevelType w:val="multilevel"/>
    <w:tmpl w:val="B494398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4D866136"/>
    <w:multiLevelType w:val="multilevel"/>
    <w:tmpl w:val="20BC13B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4E317C43"/>
    <w:multiLevelType w:val="multilevel"/>
    <w:tmpl w:val="C7080CDE"/>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nsid w:val="51A15422"/>
    <w:multiLevelType w:val="multilevel"/>
    <w:tmpl w:val="B0B46DF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nsid w:val="53181490"/>
    <w:multiLevelType w:val="multilevel"/>
    <w:tmpl w:val="06F66112"/>
    <w:styleLink w:val="List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5CE63CAE"/>
    <w:multiLevelType w:val="multilevel"/>
    <w:tmpl w:val="5E58E76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666A407A"/>
    <w:multiLevelType w:val="multilevel"/>
    <w:tmpl w:val="93BC121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5"/>
  </w:num>
  <w:num w:numId="2">
    <w:abstractNumId w:val="0"/>
  </w:num>
  <w:num w:numId="3">
    <w:abstractNumId w:val="1"/>
  </w:num>
  <w:num w:numId="4">
    <w:abstractNumId w:val="9"/>
  </w:num>
  <w:num w:numId="5">
    <w:abstractNumId w:val="11"/>
  </w:num>
  <w:num w:numId="6">
    <w:abstractNumId w:val="7"/>
  </w:num>
  <w:num w:numId="7">
    <w:abstractNumId w:val="6"/>
  </w:num>
  <w:num w:numId="8">
    <w:abstractNumId w:val="10"/>
  </w:num>
  <w:num w:numId="9">
    <w:abstractNumId w:val="4"/>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A2"/>
    <w:rsid w:val="002F3403"/>
    <w:rsid w:val="004D2903"/>
    <w:rsid w:val="006516A2"/>
    <w:rsid w:val="00814874"/>
    <w:rsid w:val="00AD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16A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6516A2"/>
    <w:pPr>
      <w:pBdr>
        <w:top w:val="nil"/>
        <w:left w:val="nil"/>
        <w:bottom w:val="nil"/>
        <w:right w:val="nil"/>
        <w:between w:val="nil"/>
        <w:bar w:val="nil"/>
      </w:pBdr>
      <w:spacing w:before="100" w:after="100" w:line="240" w:lineRule="auto"/>
      <w:outlineLvl w:val="0"/>
    </w:pPr>
    <w:rPr>
      <w:rFonts w:ascii="Times New Roman Bold" w:eastAsia="Arial Unicode MS" w:hAnsi="Arial Unicode MS" w:cs="Arial Unicode MS"/>
      <w:color w:val="000000"/>
      <w:kern w:val="36"/>
      <w:sz w:val="48"/>
      <w:szCs w:val="48"/>
      <w:u w:color="000000"/>
      <w:bdr w:val="nil"/>
    </w:rPr>
  </w:style>
  <w:style w:type="paragraph" w:styleId="NormalWeb">
    <w:name w:val="Normal (Web)"/>
    <w:rsid w:val="006516A2"/>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6516A2"/>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0">
    <w:name w:val="List 0"/>
    <w:basedOn w:val="NoList"/>
    <w:rsid w:val="006516A2"/>
    <w:pPr>
      <w:numPr>
        <w:numId w:val="2"/>
      </w:numPr>
    </w:pPr>
  </w:style>
  <w:style w:type="numbering" w:customStyle="1" w:styleId="List1">
    <w:name w:val="List 1"/>
    <w:basedOn w:val="NoList"/>
    <w:rsid w:val="006516A2"/>
    <w:pPr>
      <w:numPr>
        <w:numId w:val="4"/>
      </w:numPr>
    </w:pPr>
  </w:style>
  <w:style w:type="character" w:customStyle="1" w:styleId="Hyperlink0">
    <w:name w:val="Hyperlink.0"/>
    <w:basedOn w:val="DefaultParagraphFont"/>
    <w:rsid w:val="006516A2"/>
    <w:rPr>
      <w:color w:val="0000FF"/>
      <w:sz w:val="24"/>
      <w:szCs w:val="24"/>
      <w:u w:val="single" w:color="0000FF"/>
    </w:rPr>
  </w:style>
  <w:style w:type="numbering" w:customStyle="1" w:styleId="List21">
    <w:name w:val="List 21"/>
    <w:basedOn w:val="NoList"/>
    <w:rsid w:val="006516A2"/>
    <w:pPr>
      <w:numPr>
        <w:numId w:val="6"/>
      </w:numPr>
    </w:pPr>
  </w:style>
  <w:style w:type="numbering" w:customStyle="1" w:styleId="List31">
    <w:name w:val="List 31"/>
    <w:basedOn w:val="NoList"/>
    <w:rsid w:val="006516A2"/>
    <w:pPr>
      <w:numPr>
        <w:numId w:val="12"/>
      </w:numPr>
    </w:pPr>
  </w:style>
  <w:style w:type="character" w:customStyle="1" w:styleId="Hyperlink1">
    <w:name w:val="Hyperlink.1"/>
    <w:basedOn w:val="DefaultParagraphFont"/>
    <w:rsid w:val="006516A2"/>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16A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6516A2"/>
    <w:pPr>
      <w:pBdr>
        <w:top w:val="nil"/>
        <w:left w:val="nil"/>
        <w:bottom w:val="nil"/>
        <w:right w:val="nil"/>
        <w:between w:val="nil"/>
        <w:bar w:val="nil"/>
      </w:pBdr>
      <w:spacing w:before="100" w:after="100" w:line="240" w:lineRule="auto"/>
      <w:outlineLvl w:val="0"/>
    </w:pPr>
    <w:rPr>
      <w:rFonts w:ascii="Times New Roman Bold" w:eastAsia="Arial Unicode MS" w:hAnsi="Arial Unicode MS" w:cs="Arial Unicode MS"/>
      <w:color w:val="000000"/>
      <w:kern w:val="36"/>
      <w:sz w:val="48"/>
      <w:szCs w:val="48"/>
      <w:u w:color="000000"/>
      <w:bdr w:val="nil"/>
    </w:rPr>
  </w:style>
  <w:style w:type="paragraph" w:styleId="NormalWeb">
    <w:name w:val="Normal (Web)"/>
    <w:rsid w:val="006516A2"/>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6516A2"/>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0">
    <w:name w:val="List 0"/>
    <w:basedOn w:val="NoList"/>
    <w:rsid w:val="006516A2"/>
    <w:pPr>
      <w:numPr>
        <w:numId w:val="2"/>
      </w:numPr>
    </w:pPr>
  </w:style>
  <w:style w:type="numbering" w:customStyle="1" w:styleId="List1">
    <w:name w:val="List 1"/>
    <w:basedOn w:val="NoList"/>
    <w:rsid w:val="006516A2"/>
    <w:pPr>
      <w:numPr>
        <w:numId w:val="4"/>
      </w:numPr>
    </w:pPr>
  </w:style>
  <w:style w:type="character" w:customStyle="1" w:styleId="Hyperlink0">
    <w:name w:val="Hyperlink.0"/>
    <w:basedOn w:val="DefaultParagraphFont"/>
    <w:rsid w:val="006516A2"/>
    <w:rPr>
      <w:color w:val="0000FF"/>
      <w:sz w:val="24"/>
      <w:szCs w:val="24"/>
      <w:u w:val="single" w:color="0000FF"/>
    </w:rPr>
  </w:style>
  <w:style w:type="numbering" w:customStyle="1" w:styleId="List21">
    <w:name w:val="List 21"/>
    <w:basedOn w:val="NoList"/>
    <w:rsid w:val="006516A2"/>
    <w:pPr>
      <w:numPr>
        <w:numId w:val="6"/>
      </w:numPr>
    </w:pPr>
  </w:style>
  <w:style w:type="numbering" w:customStyle="1" w:styleId="List31">
    <w:name w:val="List 31"/>
    <w:basedOn w:val="NoList"/>
    <w:rsid w:val="006516A2"/>
    <w:pPr>
      <w:numPr>
        <w:numId w:val="12"/>
      </w:numPr>
    </w:pPr>
  </w:style>
  <w:style w:type="character" w:customStyle="1" w:styleId="Hyperlink1">
    <w:name w:val="Hyperlink.1"/>
    <w:basedOn w:val="DefaultParagraphFont"/>
    <w:rsid w:val="006516A2"/>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ovost.syr.edu/faculty-support/faculty-manual/2-23-time-in-rank/" TargetMode="External"/><Relationship Id="rId7" Type="http://schemas.openxmlformats.org/officeDocument/2006/relationships/hyperlink" Target="http://provost.syr.edu/wp-content/uploads/2013/12/senateaformA1.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6014</Words>
  <Characters>34285</Characters>
  <Application>Microsoft Macintosh Word</Application>
  <DocSecurity>0</DocSecurity>
  <Lines>285</Lines>
  <Paragraphs>80</Paragraphs>
  <ScaleCrop>false</ScaleCrop>
  <Company>Syracuse University</Company>
  <LinksUpToDate>false</LinksUpToDate>
  <CharactersWithSpaces>40219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kalston</dc:creator>
  <cp:lastModifiedBy>Carol Masiclat</cp:lastModifiedBy>
  <cp:revision>2</cp:revision>
  <dcterms:created xsi:type="dcterms:W3CDTF">2014-08-18T20:08:00Z</dcterms:created>
  <dcterms:modified xsi:type="dcterms:W3CDTF">2014-08-18T20:08:00Z</dcterms:modified>
</cp:coreProperties>
</file>